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森林防火物资采购(二次)</w:t>
      </w:r>
    </w:p>
    <w:p>
      <w:pPr>
        <w:pStyle w:val="null3"/>
        <w:jc w:val="center"/>
        <w:outlineLvl w:val="2"/>
      </w:pPr>
      <w:r>
        <w:rPr>
          <w:sz w:val="28"/>
          <w:b/>
        </w:rPr>
        <w:t>备案编号：</w:t>
      </w:r>
      <w:r>
        <w:rPr>
          <w:sz w:val="28"/>
          <w:b/>
        </w:rPr>
        <w:t>CGXM-2024-350001-05446[2024]05437</w:t>
      </w:r>
    </w:p>
    <w:p>
      <w:pPr>
        <w:pStyle w:val="null3"/>
        <w:jc w:val="center"/>
        <w:outlineLvl w:val="2"/>
      </w:pPr>
      <w:r>
        <w:rPr>
          <w:sz w:val="28"/>
          <w:b/>
        </w:rPr>
        <w:t>项目编号：</w:t>
      </w:r>
      <w:r>
        <w:rPr>
          <w:sz w:val="28"/>
          <w:b/>
        </w:rPr>
        <w:t>[350001]ZSTY[GK]2024001-1</w:t>
      </w:r>
    </w:p>
    <w:p>
      <w:pPr>
        <w:pStyle w:val="null3"/>
        <w:jc w:val="center"/>
        <w:outlineLvl w:val="2"/>
      </w:pPr>
      <w:r>
        <w:rPr>
          <w:sz w:val="28"/>
          <w:b/>
        </w:rPr>
        <w:t>采购人：</w:t>
      </w:r>
      <w:r>
        <w:rPr>
          <w:sz w:val="28"/>
          <w:b/>
        </w:rPr>
        <w:t>福建省林业局</w:t>
      </w:r>
    </w:p>
    <w:p>
      <w:pPr>
        <w:pStyle w:val="null3"/>
        <w:jc w:val="center"/>
        <w:outlineLvl w:val="2"/>
      </w:pPr>
      <w:r>
        <w:rPr>
          <w:sz w:val="28"/>
          <w:b/>
        </w:rPr>
        <w:t>代理机构：</w:t>
      </w:r>
      <w:r>
        <w:rPr>
          <w:sz w:val="28"/>
          <w:b/>
        </w:rPr>
        <w:t>中盛天韵（福建）建设工程有限公司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中盛天韵（福建）建设工程有限公司</w:t>
      </w:r>
      <w:r>
        <w:rPr/>
        <w:t xml:space="preserve"> 采用公开招标方式组织 </w:t>
      </w:r>
      <w:r>
        <w:rPr/>
        <w:t>森林防火物资采购(二次)</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CGXM-2024-350001-05446[2024]05437</w:t>
      </w:r>
    </w:p>
    <w:p>
      <w:pPr>
        <w:pStyle w:val="null3"/>
        <w:ind w:firstLine="480"/>
        <w:jc w:val="left"/>
        <w:outlineLvl w:val="2"/>
      </w:pPr>
      <w:r>
        <w:rPr>
          <w:sz w:val="28"/>
          <w:b/>
        </w:rPr>
        <w:t>2、项目编号</w:t>
      </w:r>
      <w:r>
        <w:rPr>
          <w:sz w:val="28"/>
          <w:b/>
        </w:rPr>
        <w:t>：</w:t>
      </w:r>
      <w:r>
        <w:rPr>
          <w:sz w:val="28"/>
          <w:b/>
        </w:rPr>
        <w:t>[350001]ZSTY[GK]2024001-1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w:t>
      </w:r>
    </w:p>
    <w:p>
      <w:pPr>
        <w:pStyle w:val="null3"/>
        <w:ind w:firstLine="960"/>
        <w:jc w:val="left"/>
      </w:pPr>
      <w:r>
        <w:rPr/>
        <w:t>节能产品：</w:t>
      </w:r>
      <w:r>
        <w:rPr/>
        <w:t>适用于（合同包1），按照财库[2019]19号文所附品目清单执行。</w:t>
      </w:r>
    </w:p>
    <w:p>
      <w:pPr>
        <w:pStyle w:val="null3"/>
        <w:ind w:firstLine="960"/>
        <w:jc w:val="left"/>
      </w:pPr>
      <w:r>
        <w:rPr/>
        <w:t>环境标志产品：</w:t>
      </w:r>
      <w:r>
        <w:rPr/>
        <w:t>适用于（合同包1），按照财库[2019]18号文所附品目清单执行</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福建省林业局</w:t>
      </w:r>
    </w:p>
    <w:p>
      <w:pPr>
        <w:pStyle w:val="null3"/>
        <w:ind w:firstLine="960"/>
        <w:jc w:val="left"/>
      </w:pPr>
      <w:r>
        <w:rPr/>
        <w:t xml:space="preserve"> 地址： </w:t>
      </w:r>
      <w:r>
        <w:rPr/>
        <w:t>福州市冶山路10号</w:t>
      </w:r>
    </w:p>
    <w:p>
      <w:pPr>
        <w:pStyle w:val="null3"/>
        <w:jc w:val="left"/>
      </w:pPr>
      <w:r>
        <w:rPr/>
        <w:t xml:space="preserve"> 邮编： </w:t>
      </w:r>
      <w:r>
        <w:rPr/>
        <w:t>350000</w:t>
      </w:r>
    </w:p>
    <w:p>
      <w:pPr>
        <w:pStyle w:val="null3"/>
        <w:jc w:val="left"/>
      </w:pPr>
      <w:r>
        <w:rPr/>
        <w:t xml:space="preserve"> 联系人： </w:t>
      </w:r>
      <w:r>
        <w:rPr/>
        <w:t>王玲萍</w:t>
      </w:r>
    </w:p>
    <w:p>
      <w:pPr>
        <w:pStyle w:val="null3"/>
        <w:jc w:val="left"/>
      </w:pPr>
      <w:r>
        <w:rPr/>
        <w:t xml:space="preserve"> 联系电话： </w:t>
      </w:r>
      <w:r>
        <w:rPr/>
        <w:t>0591-87278832</w:t>
      </w:r>
    </w:p>
    <w:p>
      <w:pPr>
        <w:pStyle w:val="null3"/>
        <w:ind w:firstLine="480"/>
        <w:jc w:val="left"/>
        <w:outlineLvl w:val="2"/>
      </w:pPr>
      <w:r>
        <w:rPr>
          <w:sz w:val="28"/>
          <w:b/>
        </w:rPr>
        <w:t>12、代理机构</w:t>
      </w:r>
      <w:r>
        <w:rPr>
          <w:sz w:val="28"/>
          <w:b/>
        </w:rPr>
        <w:t>：</w:t>
      </w:r>
      <w:r>
        <w:rPr>
          <w:sz w:val="28"/>
          <w:b/>
        </w:rPr>
        <w:t>中盛天韵（福建）建设工程有限公司</w:t>
      </w:r>
    </w:p>
    <w:p>
      <w:pPr>
        <w:pStyle w:val="null3"/>
        <w:ind w:firstLine="960"/>
        <w:jc w:val="both"/>
      </w:pPr>
      <w:r>
        <w:rPr/>
        <w:t xml:space="preserve"> 地址： </w:t>
      </w:r>
      <w:r>
        <w:rPr/>
        <w:t>三溪乡新丰村新丰18-1号</w:t>
      </w:r>
    </w:p>
    <w:p>
      <w:pPr>
        <w:pStyle w:val="null3"/>
        <w:jc w:val="both"/>
      </w:pPr>
      <w:r>
        <w:rPr/>
        <w:t xml:space="preserve"> 邮编： </w:t>
      </w:r>
      <w:r>
        <w:rPr/>
        <w:t>350800</w:t>
      </w:r>
    </w:p>
    <w:p>
      <w:pPr>
        <w:pStyle w:val="null3"/>
        <w:jc w:val="both"/>
      </w:pPr>
      <w:r>
        <w:rPr/>
        <w:t xml:space="preserve"> 联系人： </w:t>
      </w:r>
      <w:r>
        <w:rPr/>
        <w:t>陈少云</w:t>
      </w:r>
    </w:p>
    <w:p>
      <w:pPr>
        <w:pStyle w:val="null3"/>
        <w:jc w:val="both"/>
      </w:pPr>
      <w:r>
        <w:rPr/>
        <w:t xml:space="preserve"> 联系电话： </w:t>
      </w:r>
      <w:r>
        <w:rPr/>
        <w:t>15259305204</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中盛天韵（福建）建设工程有限公司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1,500,000.00</w:t>
      </w:r>
    </w:p>
    <w:p>
      <w:pPr>
        <w:pStyle w:val="null3"/>
        <w:jc w:val="left"/>
      </w:pPr>
      <w:r>
        <w:rPr/>
        <w:t>采购包最高限价（元）: 1,500,000.00</w:t>
      </w:r>
    </w:p>
    <w:p>
      <w:pPr>
        <w:pStyle w:val="null3"/>
        <w:jc w:val="left"/>
      </w:pPr>
      <w:r>
        <w:rPr/>
        <w:t>采购包保证金金额（元）: 15,000.00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森林防火物资</w:t>
            </w:r>
          </w:p>
        </w:tc>
        <w:tc>
          <w:tcPr>
            <w:tcW w:type="dxa" w:w="1187"/>
          </w:tcPr>
          <w:p>
            <w:pPr>
              <w:pStyle w:val="null3"/>
              <w:jc w:val="right"/>
            </w:pPr>
            <w:r>
              <w:rPr/>
              <w:t>1.00</w:t>
            </w:r>
          </w:p>
        </w:tc>
        <w:tc>
          <w:tcPr>
            <w:tcW w:type="dxa" w:w="1187"/>
          </w:tcPr>
          <w:p>
            <w:pPr>
              <w:pStyle w:val="null3"/>
              <w:jc w:val="right"/>
            </w:pPr>
            <w:r>
              <w:rPr/>
              <w:t>1,500,000.00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森林防火物资</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1,500,000.00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森林防火物资</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智能高压便携水泵</w:t>
            </w:r>
          </w:p>
        </w:tc>
        <w:tc>
          <w:tcPr>
            <w:tcW w:type="dxa" w:w="2076"/>
          </w:tcPr>
          <w:p>
            <w:pPr>
              <w:pStyle w:val="null3"/>
              <w:jc w:val="left"/>
            </w:pPr>
            <w:r>
              <w:rPr/>
              <w:t>总的报价不得高于最高限价</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w:t>
            </w:r>
          </w:p>
        </w:tc>
        <w:tc>
          <w:tcPr>
            <w:tcW w:type="dxa" w:w="2076"/>
          </w:tcPr>
          <w:p>
            <w:pPr>
              <w:pStyle w:val="null3"/>
              <w:jc w:val="left"/>
            </w:pPr>
            <w:r>
              <w:rPr/>
              <w:t>油锯</w:t>
            </w:r>
          </w:p>
        </w:tc>
        <w:tc>
          <w:tcPr>
            <w:tcW w:type="dxa" w:w="2076"/>
          </w:tcPr>
          <w:p>
            <w:pPr>
              <w:pStyle w:val="null3"/>
              <w:jc w:val="left"/>
            </w:pPr>
            <w:r>
              <w:rPr/>
              <w:t>总的报价不得高于最高限价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3</w:t>
            </w:r>
          </w:p>
        </w:tc>
        <w:tc>
          <w:tcPr>
            <w:tcW w:type="dxa" w:w="2076"/>
          </w:tcPr>
          <w:p>
            <w:pPr>
              <w:pStyle w:val="null3"/>
              <w:jc w:val="left"/>
            </w:pPr>
            <w:r>
              <w:rPr/>
              <w:t>三合对讲机</w:t>
            </w:r>
          </w:p>
        </w:tc>
        <w:tc>
          <w:tcPr>
            <w:tcW w:type="dxa" w:w="2076"/>
          </w:tcPr>
          <w:p>
            <w:pPr>
              <w:pStyle w:val="null3"/>
              <w:jc w:val="left"/>
            </w:pPr>
            <w:r>
              <w:rPr/>
              <w:t>总的报价不高于最高限价</w:t>
            </w:r>
          </w:p>
        </w:tc>
        <w:tc>
          <w:tcPr>
            <w:tcW w:type="dxa" w:w="415"/>
          </w:tcPr>
          <w:p>
            <w:pPr>
              <w:pStyle w:val="null3"/>
              <w:jc w:val="left"/>
            </w:pPr>
            <w:r>
              <w:rPr/>
              <w:t>部</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4</w:t>
            </w:r>
          </w:p>
        </w:tc>
        <w:tc>
          <w:tcPr>
            <w:tcW w:type="dxa" w:w="2076"/>
          </w:tcPr>
          <w:p>
            <w:pPr>
              <w:pStyle w:val="null3"/>
              <w:jc w:val="left"/>
            </w:pPr>
            <w:r>
              <w:rPr/>
              <w:t>应急电源</w:t>
            </w:r>
          </w:p>
        </w:tc>
        <w:tc>
          <w:tcPr>
            <w:tcW w:type="dxa" w:w="2076"/>
          </w:tcPr>
          <w:p>
            <w:pPr>
              <w:pStyle w:val="null3"/>
              <w:jc w:val="left"/>
            </w:pPr>
            <w:r>
              <w:rPr/>
              <w:t>总的报价不高于最高限价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1</w:t>
            </w:r>
            <w:r>
              <w:rPr/>
              <w:t xml:space="preserve"> 份：投标人应将其上传至福建省政府采购网上公开信息系统的电子投标文件在该可读介质中另存 </w:t>
            </w:r>
            <w:r>
              <w:rPr/>
              <w:t>1</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中盛天韵（福建）建设工程有限公司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中标供应商应根据以下标准按差额定率累进法计算，向采购代理机构缴纳招标代理服务费。中标人以各合同包成交金额为基数，100万元以内的部分按1.5%计算，100万元至500万元部分按1.1%计算，中标人须在领取成交通知书前向招标代理机构缴纳代理服务费，账户名：中盛天韵(福建)建设工程有限公司福州分公司；开户银行：中国建设银行股份有限公司福州福大支行 账户号码：35050188400000000629</w:t>
            </w:r>
          </w:p>
          <w:p>
            <w:pPr>
              <w:pStyle w:val="null3"/>
              <w:jc w:val="left"/>
            </w:pPr>
            <w:r>
              <w:rPr/>
              <w:t xml:space="preserve"> (2)其他：</w:t>
            </w:r>
          </w:p>
          <w:p>
            <w:pPr>
              <w:pStyle w:val="null3"/>
              <w:jc w:val="left"/>
            </w:pPr>
            <w:r>
              <w:rPr/>
              <w:t>19.1 根据《中华人民共和国价格法》第六条、第十八条规定，投标人依法有权自主制定属于市场调节的价格，有权根据企业的生产经营成本等自身情况和市场供求状况等外部因素自主定价。但若投标人的投标明显低于其他投标，使得其投标可能低于其个别成本的，有可能影响服务质量或不能诚信履约的，投标人应按评标委员会要求做出书面说明并提供相关证明材料，不能合理说明或不能提供相关证明材料的，可作无效投标处理。 19.1.2开标后，如个别供应商开标报价明显低于其它供应商报价的，根据系统自动预警提示，评标时，评委会将会对价格合理性进行评估，根据《政府采购货物和服务招标投标管理办法》87号令第六十条的规定要求投标人在评标现场合理的时间内（一般在接到通知的半小时内）提供书面说明，必要时还应要求其一并提交有关证明材料；投标人不能证明其报价合理性的，评标委员会应将其作为投标无效处理。建议投标人提前评估其报价的合理性，提早准备相应材料，以便出现上述情形时能在规定时间内提供。 19.2质疑与投诉 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收到采购文件之日指供应商在福建省政府采购网上公开信息系统上获取招标文件时间，证明材料需体现查看时间或获取招标文件时间，查看或获取时间以福建省政府采购网上公开信息系统记载为准。）(2)对采购过程提出质疑的，为各采购程序环节结束之日；(3)对中标结果提出质疑的，为中标结果公告期限届满之日。（4）供应商在法定质疑期内须一次性提出针对同一采购程序环节的质疑。（5）接收质疑函的方式、联系部门、联系电话和通讯地址（6）接收质疑函的方式：现场方式；（7）接收质疑函的联系部门：办公室；（8）接收质疑函的联系电话：15259305204；（9）接收质疑函的通讯地址：福建省福州市仓山区汇创名居二期13栋2梯603。19.3投诉（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 19.4根据采购资料归档需求，中标人在中标后应提供加盖公章的电子采购投标文件纸质版（胶装后并加盖中标人单位公章骑缝章），数量： 资格及资信证明部分的正本1份、副本3份，报价部分的正本1份、副本3份，技术商务部分的正本1份、副本3份。</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本项目执行《关于福建省财政厅关于电子化政府采购项目中视为串标情形认定与处理的指导意见》（闽财购〔2018〕30号）规定。b、关于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中盛天韵（福建）建设工程有限公司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中盛天韵（福建）建设工程有限公司</w:t>
      </w:r>
      <w:r>
        <w:rPr/>
        <w:t xml:space="preserve"> 将在投标截止时间至少15个日历日前，在招标文件载明的指定媒体以更正公告的形式发布澄清或修改的内容。不足15个日历日的， </w:t>
      </w:r>
      <w:r>
        <w:rPr/>
        <w:t>中盛天韵（福建）建设工程有限公司</w:t>
      </w:r>
      <w:r>
        <w:rPr/>
        <w:t xml:space="preserve"> 将顺延投标截止时间及开标时间， </w:t>
      </w:r>
      <w:r>
        <w:rPr/>
        <w:t>中盛天韵（福建）建设工程有限公司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中盛天韵（福建）建设工程有限公司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中盛天韵（福建）建设工程有限公司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中盛天韵（福建）建设工程有限公司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中盛天韵（福建）建设工程有限公司</w:t>
      </w:r>
      <w:r>
        <w:rPr/>
        <w:t xml:space="preserve"> 可终止招标并发布终止公告。</w:t>
      </w:r>
    </w:p>
    <w:p>
      <w:pPr>
        <w:pStyle w:val="null3"/>
        <w:ind w:firstLine="480"/>
        <w:jc w:val="both"/>
      </w:pPr>
      <w:r>
        <w:rPr/>
        <w:t xml:space="preserve">8.2终止公告作为 </w:t>
      </w:r>
      <w:r>
        <w:rPr/>
        <w:t>中盛天韵（福建）建设工程有限公司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中盛天韵（福建）建设工程有限公司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中盛天韵（福建）建设工程有限公司</w:t>
      </w:r>
      <w:r>
        <w:rPr/>
        <w:t xml:space="preserve"> 可于投标有效期届满之前书面要求投标人延长投标有效期，投标人应在 </w:t>
      </w:r>
      <w:r>
        <w:rPr/>
        <w:t>中盛天韵（福建）建设工程有限公司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中盛天韵（福建）建设工程有限公司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中盛天韵（福建）建设工程有限公司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中盛天韵（福建）建设工程有限公司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中盛天韵（福建）建设工程有限公司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中盛天韵（福建）建设工程有限公司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中盛天韵（福建）建设工程有限公司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中盛天韵（福建）建设工程有限公司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中盛天韵（福建）建设工程有限公司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中盛天韵（福建）建设工程有限公司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中盛天韵（福建）建设工程有限公司</w:t>
      </w:r>
      <w:r>
        <w:rPr/>
        <w:t xml:space="preserve"> 提出询问， </w:t>
      </w:r>
      <w:r>
        <w:rPr/>
        <w:t>中盛天韵（福建）建设工程有限公司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中盛天韵（福建）建设工程有限公司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中盛天韵（福建）建设工程有限公司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由中盛天韵（福建）建设工程有限公司派出的工作人员至少1人，</w:t>
      </w:r>
      <w:r>
        <w:rPr/>
        <w:t>其余1人可为采购人代表或中盛天韵（福建）建设工程有限公司的工作人员。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违反招标文件中载明“投标无效”条款的规定；属于招标文件第三章第10.12条规定的投标无效情形；投标文件对招标文件实质性要求的响应存在重大偏离或保留。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中盛天韵（福建）建设工程有限公司</w:t>
      </w:r>
      <w:r>
        <w:rPr/>
        <w:t xml:space="preserve"> 统一对外发布。</w:t>
      </w:r>
    </w:p>
    <w:p>
      <w:pPr>
        <w:pStyle w:val="null3"/>
        <w:ind w:firstLine="480"/>
        <w:jc w:val="both"/>
      </w:pPr>
      <w:r>
        <w:rPr/>
        <w:t xml:space="preserve">3、资格审查合格的投标人不足三家的，不进行评标。同时，本次采购活动结束， </w:t>
      </w:r>
      <w:r>
        <w:rPr/>
        <w:t>中盛天韵（福建）建设工程有限公司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中盛天韵（福建）建设工程有限公司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中盛天韵（福建）建设工程有限公司</w:t>
      </w:r>
      <w:r>
        <w:rPr/>
        <w:t xml:space="preserve"> 统一对外发布。</w:t>
      </w:r>
    </w:p>
    <w:p>
      <w:pPr>
        <w:pStyle w:val="null3"/>
        <w:ind w:firstLine="480"/>
        <w:jc w:val="both"/>
      </w:pPr>
      <w:r>
        <w:rPr/>
        <w:t xml:space="preserve">②对 </w:t>
      </w:r>
      <w:r>
        <w:rPr/>
        <w:t>中盛天韵（福建）建设工程有限公司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供应商的技术部分实际得分少于招标文件设定的技术部分总分50%的，视为技术部分未实质性响应招标文件要求，按无效响应处理。不符合招标文件中规定的其它实质性要求的条款，按无效投标处理。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投标人未在投标文件中完全响应招标文件第五章招标内容及要求中 “三、商务条件”全部内容的，按无效投标处理。在商务评审时，上传的内容中出现报价部分的全部或部分的投标报价信息。</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中盛天韵（福建）建设工程有限公司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1.产品技术要求响应情况</w:t>
            </w:r>
          </w:p>
        </w:tc>
        <w:tc>
          <w:tcPr>
            <w:tcW w:type="dxa" w:w="831"/>
          </w:tcPr>
          <w:p>
            <w:pPr>
              <w:pStyle w:val="null3"/>
              <w:jc w:val="right"/>
            </w:pPr>
            <w:r>
              <w:rPr/>
              <w:t>59.0000</w:t>
            </w:r>
          </w:p>
        </w:tc>
        <w:tc>
          <w:tcPr>
            <w:tcW w:type="dxa" w:w="4153"/>
          </w:tcPr>
          <w:p>
            <w:pPr>
              <w:pStyle w:val="null3"/>
              <w:jc w:val="both"/>
            </w:pPr>
            <w:r>
              <w:rPr/>
              <w:t>评委根据投标人对第五章《招标内容及要求》的“二、技术和服务要求”内容逐项（单项参数条款）响应情况进行评价：技术评分项完全响应招标文件要求的得59分；带“★”的为实质性条款，不得出现负偏离，否则视为无效投标；正偏离不加分，带“▲”的为重要技术评分项；总共项号23项，每负偏离一项，扣2.6分；扣完为止。[备注：投标人对有要求提供证明材料（如有）进行佐证的招标要求，投标人应在投标文件中提供佐证材料（在对应处作好标记）予以证明，并在《技术和服务要求响应表》中备注佐证材料所在页码。投标文件中《技术和服务要求响应表》应答内容与投标人提供的佐证材料【如国家行政部门颁发的证书、检测报告、样品（如有）、产品彩页或技术白皮书等（佐证材料相互不一致的，以此先后顺序判定，排序在前的优先认定）】不一致时，以投标人提供的佐证材料为判定依据。]</w:t>
            </w:r>
          </w:p>
        </w:tc>
      </w:tr>
      <w:tr>
        <w:tc>
          <w:tcPr>
            <w:tcW w:type="dxa" w:w="3322"/>
          </w:tcPr>
          <w:p>
            <w:pPr>
              <w:pStyle w:val="null3"/>
              <w:jc w:val="both"/>
            </w:pPr>
            <w:r>
              <w:rPr/>
              <w:t>2.供货方案</w:t>
            </w:r>
          </w:p>
        </w:tc>
        <w:tc>
          <w:tcPr>
            <w:tcW w:type="dxa" w:w="831"/>
          </w:tcPr>
          <w:p>
            <w:pPr>
              <w:pStyle w:val="null3"/>
              <w:jc w:val="right"/>
            </w:pPr>
            <w:r>
              <w:rPr/>
              <w:t>1.0000</w:t>
            </w:r>
          </w:p>
        </w:tc>
        <w:tc>
          <w:tcPr>
            <w:tcW w:type="dxa" w:w="4153"/>
          </w:tcPr>
          <w:p>
            <w:pPr>
              <w:pStyle w:val="null3"/>
              <w:jc w:val="both"/>
            </w:pPr>
            <w:r>
              <w:rPr/>
              <w:t>根据投标人针对本项目提供的总体方案（包括但不限于：①供货进度安排；②安装调试；③验收方案）进行评分：①方案包含的要点齐全无缺漏项、内容与要点相符、内容完善且完全适用于本项目的，每提供1项得1分；②方案所包含的要点齐全、内容与要点相符，但仅有纲要内容简略，未完整展开阐述的每提供1项得0.7分；③方案所包含的要点有缺漏的，每提供1项得0.4分；④未提供或内容有错误的不得分。</w:t>
            </w:r>
          </w:p>
        </w:tc>
      </w:tr>
      <w:tr>
        <w:tc>
          <w:tcPr>
            <w:tcW w:type="dxa" w:w="3322"/>
          </w:tcPr>
          <w:p>
            <w:pPr>
              <w:pStyle w:val="null3"/>
              <w:jc w:val="both"/>
            </w:pPr>
            <w:r>
              <w:rPr/>
              <w:t>3.培训方案</w:t>
            </w:r>
          </w:p>
        </w:tc>
        <w:tc>
          <w:tcPr>
            <w:tcW w:type="dxa" w:w="831"/>
          </w:tcPr>
          <w:p>
            <w:pPr>
              <w:pStyle w:val="null3"/>
              <w:jc w:val="right"/>
            </w:pPr>
            <w:r>
              <w:rPr/>
              <w:t>1.0000</w:t>
            </w:r>
          </w:p>
        </w:tc>
        <w:tc>
          <w:tcPr>
            <w:tcW w:type="dxa" w:w="4153"/>
          </w:tcPr>
          <w:p>
            <w:pPr>
              <w:pStyle w:val="null3"/>
              <w:jc w:val="both"/>
            </w:pPr>
            <w:r>
              <w:rPr/>
              <w:t>据投标人针对本项目提出的培训方案按以下量化指标和对应分值进行评审计分：①有完善的培训方案；②培训承诺书；③培训技术人员名单；④培训计划表、培训课程表、培训意见表和培训图片；⑤从对产品的认识、维护保养、正确的操作方式、操作的熟练程度；对照上列5项量化指标按：①方案包含的要点齐全无缺漏项、内容与要点相符、内容完善且完全适用于本项目的，每提供1项得0.2分；②方案所包含的要点齐全、内容与要点相符，但仅有纲要内容简略，未完整展开阐述的每提供1项得0.1分；③方案所包含的要点有缺漏的，每提供1项得0.05分；④未提供或内容有错误的不得分。</w:t>
            </w:r>
          </w:p>
        </w:tc>
      </w:tr>
      <w:tr>
        <w:tc>
          <w:tcPr>
            <w:tcW w:type="dxa" w:w="3322"/>
          </w:tcPr>
          <w:p>
            <w:pPr>
              <w:pStyle w:val="null3"/>
              <w:jc w:val="both"/>
            </w:pPr>
            <w:r>
              <w:rPr/>
              <w:t>4.样品1</w:t>
            </w:r>
          </w:p>
        </w:tc>
        <w:tc>
          <w:tcPr>
            <w:tcW w:type="dxa" w:w="831"/>
          </w:tcPr>
          <w:p>
            <w:pPr>
              <w:pStyle w:val="null3"/>
              <w:jc w:val="right"/>
            </w:pPr>
            <w:r>
              <w:rPr/>
              <w:t>3.0000</w:t>
            </w:r>
          </w:p>
        </w:tc>
        <w:tc>
          <w:tcPr>
            <w:tcW w:type="dxa" w:w="4153"/>
          </w:tcPr>
          <w:p>
            <w:pPr>
              <w:pStyle w:val="null3"/>
              <w:jc w:val="both"/>
            </w:pPr>
            <w:r>
              <w:rPr/>
              <w:t>根据各投标供应商所提供的样品“智能高压便携水泵”的情况进行评议并打分：所提供样品的技术参数在完全满足招标文件要求的基础上，泵体设计合理性、轻巧便捷、加工质量精细、安全性好得3分；提供的样品做工精细，样式设计有欠缺，得2分；提供的样品做工有欠缺，样式设计有欠缺，得1分;提供的样品做工粗糙，样式设计不合理，得0分。</w:t>
            </w:r>
          </w:p>
        </w:tc>
      </w:tr>
    </w:tbl>
    <w:p>
      <w:pPr>
        <w:pStyle w:val="null3"/>
        <w:jc w:val="both"/>
      </w:pPr>
      <w:r>
        <w:rPr/>
        <w:t>商务项（F3×A3）满分为6.0000分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同类业绩</w:t>
            </w:r>
          </w:p>
        </w:tc>
        <w:tc>
          <w:tcPr>
            <w:tcW w:type="dxa" w:w="831"/>
          </w:tcPr>
          <w:p>
            <w:pPr>
              <w:pStyle w:val="null3"/>
              <w:jc w:val="right"/>
            </w:pPr>
            <w:r>
              <w:rPr/>
              <w:t>3.0000</w:t>
            </w:r>
          </w:p>
        </w:tc>
        <w:tc>
          <w:tcPr>
            <w:tcW w:type="dxa" w:w="4153"/>
          </w:tcPr>
          <w:p>
            <w:pPr>
              <w:pStyle w:val="null3"/>
              <w:jc w:val="both"/>
            </w:pPr>
            <w:r>
              <w:rPr/>
              <w:t>根据投标人提供自2020年1月1日起至本项目投标截止日期止（日期以合同签订日期为准）有本项目类似业绩，每提供1个得1分，最多得3分。投标人需提供该业绩项目以下资料有效复印件：①中标（成交）公告（提供相关网站中标（成交）公告的下载网页及其网址）；②中标（成交）通知书复印件；③采购合同文本复印件；④能够证明该业绩项目已经采购人验收合格的相关证明文件复印件；备注：上述4项缺一不可，投标人如未按照以上要求提供该项目业绩完整资料的，此项不得分。</w:t>
            </w:r>
          </w:p>
        </w:tc>
      </w:tr>
      <w:tr>
        <w:tc>
          <w:tcPr>
            <w:tcW w:type="dxa" w:w="3322"/>
          </w:tcPr>
          <w:p>
            <w:pPr>
              <w:pStyle w:val="null3"/>
              <w:jc w:val="both"/>
            </w:pPr>
            <w:r>
              <w:rPr/>
              <w:t>售后服务方案</w:t>
            </w:r>
          </w:p>
        </w:tc>
        <w:tc>
          <w:tcPr>
            <w:tcW w:type="dxa" w:w="831"/>
          </w:tcPr>
          <w:p>
            <w:pPr>
              <w:pStyle w:val="null3"/>
              <w:jc w:val="right"/>
            </w:pPr>
            <w:r>
              <w:rPr/>
              <w:t>1.0000</w:t>
            </w:r>
          </w:p>
        </w:tc>
        <w:tc>
          <w:tcPr>
            <w:tcW w:type="dxa" w:w="4153"/>
          </w:tcPr>
          <w:p>
            <w:pPr>
              <w:pStyle w:val="null3"/>
              <w:jc w:val="both"/>
            </w:pPr>
            <w:r>
              <w:rPr/>
              <w:t>根据投标人针对本项目提出的售后服务方案包含但不限于售后服务承诺、产品售后质量保障措施、售后服务管理体系、售后服务响应和问题解决时间等方面内容，按以下量化指标和对应分值进行评审计分：①有完善的售后服务体系；②有专业服务团队；③具体的响应时间、响应方式；④质量保障方案；⑤故障出现解决方案。对照上列5项量化指标进行评分：①方案包含的要点齐全无缺漏项、内容与要点相符、内容完善且完全适用于本项目的，每提供1项得0.2分；②方案所包含的要点齐全、内容与要点相符，但仅有纲要内容简略，未完整展开阐述的每提供1项得0.1分；③方案所包含的要点有缺漏的，每提供1项得0.05分；④未提供或内容有错误的不得分。</w:t>
            </w:r>
          </w:p>
        </w:tc>
      </w:tr>
      <w:tr>
        <w:tc>
          <w:tcPr>
            <w:tcW w:type="dxa" w:w="3322"/>
          </w:tcPr>
          <w:p>
            <w:pPr>
              <w:pStyle w:val="null3"/>
              <w:jc w:val="both"/>
            </w:pPr>
            <w:r>
              <w:rPr/>
              <w:t>质保期承诺情况</w:t>
            </w:r>
          </w:p>
        </w:tc>
        <w:tc>
          <w:tcPr>
            <w:tcW w:type="dxa" w:w="831"/>
          </w:tcPr>
          <w:p>
            <w:pPr>
              <w:pStyle w:val="null3"/>
              <w:jc w:val="right"/>
            </w:pPr>
            <w:r>
              <w:rPr/>
              <w:t>2.0000</w:t>
            </w:r>
          </w:p>
        </w:tc>
        <w:tc>
          <w:tcPr>
            <w:tcW w:type="dxa" w:w="4153"/>
          </w:tcPr>
          <w:p>
            <w:pPr>
              <w:pStyle w:val="null3"/>
              <w:jc w:val="both"/>
            </w:pPr>
            <w:r>
              <w:rPr/>
              <w:t>根据各投标人所承诺的质保期，在响应招标文件质保期要求的基础上（2年），每延长一年的加1分，满分2分。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仿宋_gb2312" w:hAnsi="仿宋_gb2312" w:cs="仿宋_gb2312" w:eastAsia="仿宋_gb2312"/>
          <w:sz w:val="32"/>
          <w:b/>
        </w:rPr>
        <w:t>1、采购物资装备明细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678"/>
        <w:gridCol w:w="1243"/>
        <w:gridCol w:w="6700"/>
        <w:gridCol w:w="1243"/>
        <w:gridCol w:w="1569"/>
      </w:tblGrid>
      <w:tr>
        <w:tc>
          <w:tcPr>
            <w:tcW w:type="dxa" w:w="1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类型</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序号</w:t>
            </w:r>
          </w:p>
        </w:tc>
        <w:tc>
          <w:tcPr>
            <w:tcW w:type="dxa" w:w="6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产品名称</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单位</w:t>
            </w:r>
          </w:p>
        </w:tc>
        <w:tc>
          <w:tcPr>
            <w:tcW w:type="dxa" w:w="1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数量</w:t>
            </w:r>
          </w:p>
        </w:tc>
      </w:tr>
      <w:tr>
        <w:tc>
          <w:tcPr>
            <w:tcW w:type="dxa" w:w="167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森林防火物资</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1</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油 锯</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台</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50</w:t>
            </w:r>
          </w:p>
        </w:tc>
      </w:tr>
      <w:tr>
        <w:tc>
          <w:tcPr>
            <w:tcW w:type="dxa" w:w="1678"/>
            <w:vMerge/>
            <w:tcBorders>
              <w:top w:val="none" w:color="000000" w:sz="4"/>
              <w:left w:val="single" w:color="000000" w:sz="4"/>
              <w:bottom w:val="non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智能高压便携水泵</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套</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20</w:t>
            </w:r>
          </w:p>
        </w:tc>
      </w:tr>
      <w:tr>
        <w:tc>
          <w:tcPr>
            <w:tcW w:type="dxa" w:w="1678"/>
            <w:vMerge/>
            <w:tcBorders>
              <w:top w:val="none" w:color="000000" w:sz="4"/>
              <w:left w:val="single" w:color="000000" w:sz="4"/>
              <w:bottom w:val="non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3</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三合对讲机</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部</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20</w:t>
            </w:r>
          </w:p>
        </w:tc>
      </w:tr>
      <w:tr>
        <w:tc>
          <w:tcPr>
            <w:tcW w:type="dxa" w:w="1678"/>
            <w:vMerge/>
            <w:tcBorders>
              <w:top w:val="none" w:color="000000" w:sz="4"/>
              <w:left w:val="single" w:color="000000" w:sz="4"/>
              <w:bottom w:val="non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4</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应急电源</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台</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20</w:t>
            </w:r>
          </w:p>
        </w:tc>
      </w:tr>
    </w:tbl>
    <w:p>
      <w:pPr>
        <w:pStyle w:val="null3"/>
        <w:ind w:firstLine="3915"/>
        <w:jc w:val="both"/>
      </w:pPr>
      <w:r>
        <w:rPr>
          <w:rFonts w:ascii="宋体" w:hAnsi="宋体" w:cs="宋体" w:eastAsia="宋体"/>
          <w:sz w:val="24"/>
          <w:shd w:fill="FFFFFF" w:val="clear"/>
        </w:rPr>
        <w:t>2、货物基本要求：投标人所提供的技术和服务要求必须符合或优于招标文件中的技术和服务要求。本次采购的设备要求投标人提供的产品必须是最近全新的原厂原包装的产品。此次招标货物必须是通过合法渠道获得的，且不属于假冒伪劣商品。</w:t>
      </w:r>
    </w:p>
    <w:p>
      <w:pPr>
        <w:pStyle w:val="null3"/>
        <w:spacing w:after="150"/>
        <w:ind w:firstLine="480"/>
        <w:jc w:val="left"/>
      </w:pPr>
      <w:r>
        <w:rPr>
          <w:rFonts w:ascii="宋体" w:hAnsi="宋体" w:cs="宋体" w:eastAsia="宋体"/>
          <w:sz w:val="24"/>
          <w:shd w:fill="FFFFFF" w:val="clear"/>
        </w:rPr>
        <w:t xml:space="preserve"> </w:t>
      </w:r>
      <w:r>
        <w:rPr>
          <w:rFonts w:ascii="宋体" w:hAnsi="宋体" w:cs="宋体" w:eastAsia="宋体"/>
          <w:sz w:val="24"/>
          <w:shd w:fill="FFFFFF" w:val="clear"/>
        </w:rPr>
        <w:t>（</w:t>
      </w:r>
      <w:r>
        <w:rPr>
          <w:rFonts w:ascii="宋体" w:hAnsi="宋体" w:cs="宋体" w:eastAsia="宋体"/>
          <w:sz w:val="24"/>
          <w:shd w:fill="FFFFFF" w:val="clear"/>
        </w:rPr>
        <w:t>1）货物应是全新的经检验合格的产品，完全符合招标采购规定的质量、规格和性能等要求，配完整的出厂配置及附件。投标人应保证其提供的货物在正确安装、正常使用和保养条件下，在规定的使用寿命期内具有满意的性能。</w:t>
      </w:r>
    </w:p>
    <w:p>
      <w:pPr>
        <w:pStyle w:val="null3"/>
        <w:ind w:firstLine="480"/>
        <w:jc w:val="both"/>
      </w:pPr>
      <w:r>
        <w:rPr>
          <w:rFonts w:ascii="宋体" w:hAnsi="宋体" w:cs="宋体" w:eastAsia="宋体"/>
          <w:sz w:val="24"/>
          <w:b/>
          <w:shd w:fill="FFFFFF" w:val="clear"/>
        </w:rPr>
        <w:t>（</w:t>
      </w:r>
      <w:r>
        <w:rPr>
          <w:rFonts w:ascii="宋体" w:hAnsi="宋体" w:cs="宋体" w:eastAsia="宋体"/>
          <w:sz w:val="24"/>
          <w:b/>
          <w:shd w:fill="FFFFFF" w:val="clear"/>
        </w:rPr>
        <w:t>2）货物包装均应有良好的防湿、防锈、防潮、防雨</w:t>
      </w:r>
      <w:r>
        <w:rPr>
          <w:rFonts w:ascii="宋体" w:hAnsi="宋体" w:cs="宋体" w:eastAsia="宋体"/>
          <w:sz w:val="24"/>
          <w:b/>
          <w:shd w:fill="FFFFFF" w:val="clear"/>
        </w:rPr>
        <w:t>及</w:t>
      </w:r>
      <w:r>
        <w:rPr>
          <w:rFonts w:ascii="宋体" w:hAnsi="宋体" w:cs="宋体" w:eastAsia="宋体"/>
          <w:sz w:val="24"/>
          <w:b/>
          <w:shd w:fill="FFFFFF" w:val="clear"/>
        </w:rPr>
        <w:t>防腐的措施并保证安全、完整、运达采购人指定现场。凡由于包装不良造成的损失和由此产生的费用均由成交供应商承担。</w:t>
      </w:r>
    </w:p>
    <w:p>
      <w:pPr>
        <w:pStyle w:val="null3"/>
        <w:jc w:val="both"/>
        <w:outlineLvl w:val="2"/>
      </w:pPr>
      <w:r>
        <w:rPr>
          <w:sz w:val="28"/>
          <w:b/>
        </w:rPr>
        <w:t>二、技术和服务要求（以“★”标示的内容为不允许负偏离的实质性要求）</w:t>
      </w:r>
    </w:p>
    <w:p>
      <w:pPr>
        <w:pStyle w:val="null3"/>
        <w:ind w:firstLine="480"/>
        <w:jc w:val="both"/>
      </w:pPr>
      <w:r>
        <w:rPr/>
        <w:t xml:space="preserve"> </w:t>
      </w:r>
    </w:p>
    <w:p>
      <w:pPr>
        <w:pStyle w:val="null3"/>
      </w:pPr>
      <w:r>
        <w:rPr/>
        <w:t>（一）技术要求</w:t>
      </w:r>
    </w:p>
    <w:tbl>
      <w:tblPr>
        <w:tblW w:w="0" w:type="auto"/>
        <w:tblBorders>
          <w:top w:val="none" w:color="000000" w:sz="4"/>
          <w:left w:val="none" w:color="000000" w:sz="4"/>
          <w:bottom w:val="none" w:color="000000" w:sz="4"/>
          <w:right w:val="none" w:color="000000" w:sz="4"/>
          <w:insideH w:val="none"/>
          <w:insideV w:val="none"/>
        </w:tblBorders>
      </w:tblPr>
      <w:tblGrid>
        <w:gridCol w:w="0"/>
        <w:gridCol w:w="739"/>
        <w:gridCol w:w="930"/>
        <w:gridCol w:w="10772"/>
      </w:tblGrid>
      <w:tr>
        <w:tc>
          <w:tcPr>
            <w:tcW w:type="dxa" w:w="0"/>
          </w:tcPr>
          <w:p>
            <w:pPr>
              <w:pStyle w:val="null3"/>
            </w:pPr>
            <w:r>
              <w:rPr>
                <w:rFonts w:ascii="&quot;times new roman&quot;" w:hAnsi="&quot;times new roman&quot;" w:cs="&quot;times new roman&quot;" w:eastAsia="&quot;times new roman&quot;"/>
                <w:sz w:val="19"/>
              </w:rPr>
              <w:t xml:space="preserve"> </w:t>
            </w:r>
          </w:p>
        </w:tc>
        <w:tc>
          <w:tcPr>
            <w:tcW w:type="dxa" w:w="7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序号</w:t>
            </w:r>
          </w:p>
        </w:tc>
        <w:tc>
          <w:tcPr>
            <w:tcW w:type="dxa" w:w="9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名称</w:t>
            </w:r>
          </w:p>
        </w:tc>
        <w:tc>
          <w:tcPr>
            <w:tcW w:type="dxa" w:w="1077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参数</w:t>
            </w:r>
          </w:p>
        </w:tc>
      </w:tr>
      <w:tr>
        <w:tc>
          <w:tcPr>
            <w:tcW w:type="dxa" w:w="0"/>
          </w:tcPr>
          <w:p>
            <w:pPr>
              <w:pStyle w:val="null3"/>
            </w:pPr>
            <w:r>
              <w:rPr>
                <w:rFonts w:ascii="&quot;times new roman&quot;" w:hAnsi="&quot;times new roman&quot;" w:cs="&quot;times new roman&quot;" w:eastAsia="&quot;times new roman&quot;"/>
                <w:sz w:val="19"/>
              </w:rPr>
              <w:t xml:space="preserve"> </w:t>
            </w: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9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油 锯</w:t>
            </w:r>
          </w:p>
        </w:tc>
        <w:tc>
          <w:tcPr>
            <w:tcW w:type="dxa" w:w="10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1、常温启动（S）：≤7；手感振动（m/s2）：≤</w:t>
            </w:r>
            <w:r>
              <w:rPr>
                <w:rFonts w:ascii="宋体" w:hAnsi="宋体" w:cs="宋体" w:eastAsia="宋体"/>
                <w:sz w:val="24"/>
                <w:color w:val="000000"/>
              </w:rPr>
              <w:t>7</w:t>
            </w:r>
            <w:r>
              <w:rPr>
                <w:rFonts w:ascii="宋体" w:hAnsi="宋体" w:cs="宋体" w:eastAsia="宋体"/>
                <w:sz w:val="24"/>
                <w:color w:val="000000"/>
              </w:rPr>
              <w:t>；锯切效率（</w:t>
            </w:r>
            <w:r>
              <w:rPr>
                <w:rFonts w:ascii="宋体" w:hAnsi="宋体" w:cs="宋体" w:eastAsia="宋体"/>
                <w:sz w:val="24"/>
                <w:color w:val="000000"/>
              </w:rPr>
              <w:t>cm/2s）:≥</w:t>
            </w:r>
            <w:r>
              <w:rPr>
                <w:rFonts w:ascii="宋体" w:hAnsi="宋体" w:cs="宋体" w:eastAsia="宋体"/>
                <w:sz w:val="24"/>
                <w:color w:val="000000"/>
              </w:rPr>
              <w:t>50</w:t>
            </w:r>
            <w:r>
              <w:rPr>
                <w:rFonts w:ascii="宋体" w:hAnsi="宋体" w:cs="宋体" w:eastAsia="宋体"/>
                <w:sz w:val="24"/>
                <w:color w:val="000000"/>
              </w:rPr>
              <w:t>；发动机最大功率（</w:t>
            </w:r>
            <w:r>
              <w:rPr>
                <w:rFonts w:ascii="宋体" w:hAnsi="宋体" w:cs="宋体" w:eastAsia="宋体"/>
                <w:sz w:val="24"/>
                <w:color w:val="000000"/>
              </w:rPr>
              <w:t>kW):≥2.0；主机比质量（kg/KW）≤2.5；净质量：≤</w:t>
            </w:r>
            <w:r>
              <w:rPr>
                <w:rFonts w:ascii="宋体" w:hAnsi="宋体" w:cs="宋体" w:eastAsia="宋体"/>
                <w:sz w:val="24"/>
                <w:color w:val="000000"/>
              </w:rPr>
              <w:t>8</w:t>
            </w:r>
            <w:r>
              <w:rPr>
                <w:rFonts w:ascii="宋体" w:hAnsi="宋体" w:cs="宋体" w:eastAsia="宋体"/>
                <w:sz w:val="24"/>
                <w:color w:val="000000"/>
              </w:rPr>
              <w:t>Kg；</w:t>
            </w:r>
          </w:p>
          <w:p>
            <w:pPr>
              <w:pStyle w:val="null3"/>
              <w:jc w:val="left"/>
            </w:pPr>
            <w:r>
              <w:rPr>
                <w:rFonts w:ascii="宋体" w:hAnsi="宋体" w:cs="宋体" w:eastAsia="宋体"/>
                <w:sz w:val="24"/>
              </w:rPr>
              <w:t>2性能特点：采用两冲程技术发动机，分层扫气式的发动机，环保、减少废气排放。易启动装置，采用张紧发条的原理，蓄力弹簧启动（非传统的双弹簧启动），使启动更加轻松；无需工具锯链快速张紧装置、无需工具可快速打开或关闭油 箱盖和机油 箱盖；手动泵油 装置，减少启动过程中拉拽的次数。预分离式空气过滤系统；弹簧减震；微处理控制点火模块。导板18~20寸。</w:t>
            </w:r>
          </w:p>
        </w:tc>
      </w:tr>
      <w:tr>
        <w:tc>
          <w:tcPr>
            <w:tcW w:type="dxa" w:w="0"/>
          </w:tcPr>
          <w:p>
            <w:pPr>
              <w:pStyle w:val="null3"/>
            </w:pPr>
            <w:r>
              <w:rPr>
                <w:rFonts w:ascii="&quot;times new roman&quot;" w:hAnsi="&quot;times new roman&quot;" w:cs="&quot;times new roman&quot;" w:eastAsia="&quot;times new roman&quot;"/>
                <w:sz w:val="19"/>
              </w:rPr>
              <w:t xml:space="preserve"> </w:t>
            </w: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c>
          <w:tcPr>
            <w:tcW w:type="dxa" w:w="9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智能高压便携水泵</w:t>
            </w:r>
          </w:p>
        </w:tc>
        <w:tc>
          <w:tcPr>
            <w:tcW w:type="dxa" w:w="10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rPr>
              <w:t>一、水泵参数指标：</w:t>
            </w:r>
          </w:p>
          <w:p>
            <w:pPr>
              <w:pStyle w:val="null3"/>
              <w:jc w:val="both"/>
            </w:pPr>
            <w:r>
              <w:rPr>
                <w:rFonts w:ascii="宋体" w:hAnsi="宋体" w:cs="宋体" w:eastAsia="宋体"/>
                <w:sz w:val="24"/>
              </w:rPr>
              <w:t>▲</w:t>
            </w:r>
            <w:r>
              <w:rPr>
                <w:rFonts w:ascii="宋体" w:hAnsi="宋体" w:cs="宋体" w:eastAsia="宋体"/>
                <w:sz w:val="24"/>
              </w:rPr>
              <w:t>1、最大压力：≥</w:t>
            </w:r>
            <w:r>
              <w:rPr>
                <w:rFonts w:ascii="宋体" w:hAnsi="宋体" w:cs="宋体" w:eastAsia="宋体"/>
                <w:sz w:val="24"/>
              </w:rPr>
              <w:t>2.0</w:t>
            </w:r>
            <w:r>
              <w:rPr>
                <w:rFonts w:ascii="宋体" w:hAnsi="宋体" w:cs="宋体" w:eastAsia="宋体"/>
                <w:sz w:val="24"/>
              </w:rPr>
              <w:t>Mpa（扬程≥2</w:t>
            </w:r>
            <w:r>
              <w:rPr>
                <w:rFonts w:ascii="宋体" w:hAnsi="宋体" w:cs="宋体" w:eastAsia="宋体"/>
                <w:sz w:val="24"/>
              </w:rPr>
              <w:t>00</w:t>
            </w:r>
            <w:r>
              <w:rPr>
                <w:rFonts w:ascii="宋体" w:hAnsi="宋体" w:cs="宋体" w:eastAsia="宋体"/>
                <w:sz w:val="24"/>
              </w:rPr>
              <w:t>米）；</w:t>
            </w:r>
          </w:p>
          <w:p>
            <w:pPr>
              <w:pStyle w:val="null3"/>
              <w:jc w:val="both"/>
            </w:pPr>
            <w:r>
              <w:rPr>
                <w:rFonts w:ascii="宋体" w:hAnsi="宋体" w:cs="宋体" w:eastAsia="宋体"/>
                <w:sz w:val="24"/>
              </w:rPr>
              <w:t>▲</w:t>
            </w:r>
            <w:r>
              <w:rPr>
                <w:rFonts w:ascii="宋体" w:hAnsi="宋体" w:cs="宋体" w:eastAsia="宋体"/>
                <w:sz w:val="24"/>
              </w:rPr>
              <w:t>2、主泵重量：≤12kg（不含电池）；最大射程：≥35米；最大流量：≥5.2L/s（吸深≥6米）；油耗：≤2.</w:t>
            </w:r>
            <w:r>
              <w:rPr>
                <w:rFonts w:ascii="宋体" w:hAnsi="宋体" w:cs="宋体" w:eastAsia="宋体"/>
                <w:sz w:val="24"/>
              </w:rPr>
              <w:t>6</w:t>
            </w:r>
            <w:r>
              <w:rPr>
                <w:rFonts w:ascii="宋体" w:hAnsi="宋体" w:cs="宋体" w:eastAsia="宋体"/>
                <w:sz w:val="24"/>
              </w:rPr>
              <w:t>L/h；引水时间：≤6S；</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3、运转试验：运转时油门位置稳定，无工况漂移；密封性能：最大压力工况时机体无渗漏，泄压后正常运转；外观质量：所有铸件外表面不应有明显的结疤、气泡、砂眼等缺陷。机体外观应无尖锐部件，保护背负携行人员安全；配套动力及水泵结构：2冲程水冷与空气复合冷却的侧排气发动机；水泵为两级耐腐铜叶轮和两级耐腐不锈钢铜叶轮离心泵；</w:t>
            </w:r>
          </w:p>
          <w:p>
            <w:pPr>
              <w:pStyle w:val="null3"/>
              <w:jc w:val="both"/>
            </w:pPr>
            <w:r>
              <w:rPr>
                <w:rFonts w:ascii="宋体" w:hAnsi="宋体" w:cs="宋体" w:eastAsia="宋体"/>
                <w:sz w:val="24"/>
              </w:rPr>
              <w:t>▲</w:t>
            </w:r>
            <w:r>
              <w:rPr>
                <w:rFonts w:ascii="宋体" w:hAnsi="宋体" w:cs="宋体" w:eastAsia="宋体"/>
                <w:sz w:val="24"/>
              </w:rPr>
              <w:t>4、冷启动时间：≤5S；</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w:t>
            </w:r>
            <w:r>
              <w:rPr>
                <w:rFonts w:ascii="宋体" w:hAnsi="宋体" w:cs="宋体" w:eastAsia="宋体"/>
                <w:sz w:val="24"/>
              </w:rPr>
              <w:t>5、启动方式：手拉/一键电启动/遥控启动；启动电源：具备反复充电的专用电</w:t>
            </w:r>
            <w:r>
              <w:rPr>
                <w:rFonts w:ascii="宋体" w:hAnsi="宋体" w:cs="宋体" w:eastAsia="宋体"/>
                <w:sz w:val="24"/>
                <w:color w:val="000000"/>
              </w:rPr>
              <w:t>池，</w:t>
            </w:r>
            <w:r>
              <w:rPr>
                <w:rFonts w:ascii="宋体" w:hAnsi="宋体" w:cs="宋体" w:eastAsia="宋体"/>
                <w:sz w:val="24"/>
                <w:color w:val="000000"/>
              </w:rPr>
              <w:t>电池质量</w:t>
            </w:r>
            <w:r>
              <w:rPr>
                <w:rFonts w:ascii="宋体" w:hAnsi="宋体" w:cs="宋体" w:eastAsia="宋体"/>
                <w:sz w:val="24"/>
                <w:color w:val="000000"/>
              </w:rPr>
              <w:t>≤</w:t>
            </w:r>
            <w:r>
              <w:rPr>
                <w:rFonts w:ascii="宋体" w:hAnsi="宋体" w:cs="宋体" w:eastAsia="宋体"/>
                <w:sz w:val="24"/>
                <w:color w:val="000000"/>
              </w:rPr>
              <w:t>400</w:t>
            </w:r>
            <w:r>
              <w:rPr>
                <w:rFonts w:ascii="宋体" w:hAnsi="宋体" w:cs="宋体" w:eastAsia="宋体"/>
                <w:sz w:val="24"/>
                <w:color w:val="000000"/>
              </w:rPr>
              <w:t>g</w:t>
            </w:r>
            <w:r>
              <w:rPr>
                <w:rFonts w:ascii="宋体" w:hAnsi="宋体" w:cs="宋体" w:eastAsia="宋体"/>
                <w:sz w:val="24"/>
                <w:color w:val="000000"/>
              </w:rPr>
              <w:t>，同时具有</w:t>
            </w:r>
            <w:r>
              <w:rPr>
                <w:rFonts w:ascii="宋体" w:hAnsi="宋体" w:cs="宋体" w:eastAsia="宋体"/>
                <w:sz w:val="24"/>
                <w:color w:val="000000"/>
              </w:rPr>
              <w:t>LED照明、USB接口、充电功能、12V汽车应急启动、自动</w:t>
            </w:r>
            <w:r>
              <w:rPr>
                <w:rFonts w:ascii="宋体" w:hAnsi="宋体" w:cs="宋体" w:eastAsia="宋体"/>
                <w:sz w:val="24"/>
              </w:rPr>
              <w:t>指南针、自带应急安全锤功能；冷却方式：强制闭路循环水冷；</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6.启动电流保护器：具有启动电流保护功能，并能手动恢复；启动性能：水泵的电启装置与发动机为一体化并带有插座，启动电源为锂电池，电池充满电启动≥85次；</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w:t>
            </w:r>
            <w:r>
              <w:rPr>
                <w:rFonts w:ascii="宋体" w:hAnsi="宋体" w:cs="宋体" w:eastAsia="宋体"/>
                <w:sz w:val="24"/>
              </w:rPr>
              <w:t>7、全自动上水底阀；全自动上水底阀重量≤1.5kg、遇水启动、自动运行无需人工引水、双重防水功能；智能远距离遥控启动：能通过遥控控制器遥控控制水泵的启停功能，遥控控制器能远距离调节水泵压力大小，遥控控制范围大于150米。</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二、其它：</w:t>
            </w:r>
          </w:p>
          <w:p>
            <w:pPr>
              <w:pStyle w:val="null3"/>
              <w:jc w:val="both"/>
            </w:pPr>
            <w:r>
              <w:rPr>
                <w:rFonts w:ascii="宋体" w:hAnsi="宋体" w:cs="宋体" w:eastAsia="宋体"/>
                <w:sz w:val="24"/>
              </w:rPr>
              <w:t>1、附件含：油 箱，吸  油    管，引水泵，进水 管，卡式凸型快速接头，凹型快速接头，螺纹接头，底阀，止水钳，单向阀，开关三通，串联接头，内螺纹接头，直流喷枪，启动电池，泡沫枪，安全报警器</w:t>
            </w:r>
            <w:r>
              <w:rPr>
                <w:rFonts w:ascii="宋体" w:hAnsi="宋体" w:cs="宋体" w:eastAsia="宋体"/>
                <w:sz w:val="24"/>
              </w:rPr>
              <w:t>,水带背包、蓄水池各1个（套）。</w:t>
            </w:r>
          </w:p>
          <w:p>
            <w:pPr>
              <w:pStyle w:val="null3"/>
              <w:jc w:val="both"/>
            </w:pPr>
            <w:r>
              <w:rPr>
                <w:rFonts w:ascii="宋体" w:hAnsi="宋体" w:cs="宋体" w:eastAsia="宋体"/>
                <w:sz w:val="24"/>
              </w:rPr>
              <w:t>2、水带：含DN40消防水带≥150米。PU衬里，涤纶长丝编织外套，工作压力：≥PN</w:t>
            </w:r>
            <w:r>
              <w:rPr>
                <w:rFonts w:ascii="宋体" w:hAnsi="宋体" w:cs="宋体" w:eastAsia="宋体"/>
                <w:sz w:val="24"/>
              </w:rPr>
              <w:t>3</w:t>
            </w:r>
            <w:r>
              <w:rPr>
                <w:rFonts w:ascii="宋体" w:hAnsi="宋体" w:cs="宋体" w:eastAsia="宋体"/>
                <w:sz w:val="24"/>
              </w:rPr>
              <w:t>.0Mpa，两端快速接头，长≥30米/条。水带总承含接头，测试压力不少于4Mpa，无泄漏，无损坏，抗拉≥1000KG，接头不分离、不脱落、水带不断裂。</w:t>
            </w:r>
          </w:p>
          <w:p>
            <w:pPr>
              <w:pStyle w:val="null3"/>
              <w:jc w:val="both"/>
            </w:pPr>
            <w:r>
              <w:rPr>
                <w:rFonts w:ascii="宋体" w:hAnsi="宋体" w:cs="宋体" w:eastAsia="宋体"/>
                <w:sz w:val="24"/>
              </w:rPr>
              <w:t>3、安全报警器:</w:t>
            </w:r>
            <w:r>
              <w:br/>
            </w:r>
            <w:r>
              <w:rPr>
                <w:rFonts w:ascii="宋体" w:hAnsi="宋体" w:cs="宋体" w:eastAsia="宋体"/>
                <w:sz w:val="24"/>
              </w:rPr>
              <w:t>1、要求开机设备进入正常工作状态的时间≤3min</w:t>
            </w:r>
            <w:r>
              <w:rPr>
                <w:rFonts w:ascii="宋体" w:hAnsi="宋体" w:cs="宋体" w:eastAsia="宋体"/>
                <w:sz w:val="24"/>
              </w:rPr>
              <w:t>；</w:t>
            </w:r>
          </w:p>
          <w:p>
            <w:pPr>
              <w:pStyle w:val="null3"/>
              <w:jc w:val="left"/>
            </w:pPr>
            <w:r>
              <w:rPr>
                <w:rFonts w:ascii="宋体" w:hAnsi="宋体" w:cs="宋体" w:eastAsia="宋体"/>
                <w:sz w:val="24"/>
              </w:rPr>
              <w:t>★2、报警功能</w:t>
            </w:r>
            <w:r>
              <w:rPr>
                <w:rFonts w:ascii="宋体" w:hAnsi="宋体" w:cs="宋体" w:eastAsia="宋体"/>
                <w:sz w:val="24"/>
              </w:rPr>
              <w:t>及性能</w:t>
            </w:r>
            <w:r>
              <w:rPr>
                <w:rFonts w:ascii="宋体" w:hAnsi="宋体" w:cs="宋体" w:eastAsia="宋体"/>
                <w:sz w:val="24"/>
              </w:rPr>
              <w:t>要求：</w:t>
            </w:r>
          </w:p>
          <w:p>
            <w:pPr>
              <w:pStyle w:val="null3"/>
              <w:jc w:val="left"/>
            </w:pPr>
            <w:r>
              <w:rPr>
                <w:rFonts w:ascii="宋体" w:hAnsi="宋体" w:cs="宋体" w:eastAsia="宋体"/>
                <w:sz w:val="24"/>
              </w:rPr>
              <w:t>（</w:t>
            </w:r>
            <w:r>
              <w:rPr>
                <w:rFonts w:ascii="宋体" w:hAnsi="宋体" w:cs="宋体" w:eastAsia="宋体"/>
                <w:sz w:val="24"/>
              </w:rPr>
              <w:t>1）当CO浓度高于400PPM（百万分之400）和O2浓度低于19.5%时，会触发一级报警，要求有醒目绿色灯光闪烁；</w:t>
            </w:r>
            <w:r>
              <w:rPr>
                <w:rFonts w:ascii="宋体" w:hAnsi="宋体" w:cs="宋体" w:eastAsia="宋体"/>
                <w:sz w:val="24"/>
                <w:b/>
              </w:rPr>
              <w:t>[须提供国家认可的具有检测资质的检测机构出具的检测报告佐证]</w:t>
            </w:r>
          </w:p>
          <w:p>
            <w:pPr>
              <w:pStyle w:val="null3"/>
              <w:jc w:val="left"/>
            </w:pPr>
            <w:r>
              <w:rPr>
                <w:rFonts w:ascii="宋体" w:hAnsi="宋体" w:cs="宋体" w:eastAsia="宋体"/>
                <w:sz w:val="24"/>
              </w:rPr>
              <w:t>（</w:t>
            </w:r>
            <w:r>
              <w:rPr>
                <w:rFonts w:ascii="宋体" w:hAnsi="宋体" w:cs="宋体" w:eastAsia="宋体"/>
                <w:sz w:val="24"/>
              </w:rPr>
              <w:t>2）当CO浓度高于800PPM（百万分之800）和O2浓度低于18%时，会触发二级报警，要求具有醒目绿色与红色灯光均闪，并发出蜂鸣声；</w:t>
            </w:r>
            <w:r>
              <w:rPr>
                <w:rFonts w:ascii="宋体" w:hAnsi="宋体" w:cs="宋体" w:eastAsia="宋体"/>
                <w:sz w:val="24"/>
                <w:b/>
              </w:rPr>
              <w:t>[须提供国家认可的具有检测资质的检测机构出具的检测报告佐证]</w:t>
            </w:r>
          </w:p>
          <w:p>
            <w:pPr>
              <w:pStyle w:val="null3"/>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）可使用手机专用软件，对设备工作数据进行</w:t>
            </w:r>
            <w:r>
              <w:rPr>
                <w:rFonts w:ascii="宋体" w:hAnsi="宋体" w:cs="宋体" w:eastAsia="宋体"/>
                <w:sz w:val="24"/>
              </w:rPr>
              <w:t>检</w:t>
            </w:r>
            <w:r>
              <w:rPr>
                <w:rFonts w:ascii="宋体" w:hAnsi="宋体" w:cs="宋体" w:eastAsia="宋体"/>
                <w:sz w:val="24"/>
              </w:rPr>
              <w:t>测；</w:t>
            </w:r>
            <w:r>
              <w:rPr>
                <w:rFonts w:ascii="宋体" w:hAnsi="宋体" w:cs="宋体" w:eastAsia="宋体"/>
                <w:sz w:val="24"/>
                <w:b/>
              </w:rPr>
              <w:t>[须提供国家认可的具有检测资质的检测机构出具的检测报告佐证]</w:t>
            </w:r>
          </w:p>
          <w:p>
            <w:pPr>
              <w:pStyle w:val="null3"/>
              <w:jc w:val="both"/>
            </w:pPr>
            <w:r>
              <w:rPr>
                <w:rFonts w:ascii="宋体" w:hAnsi="宋体" w:cs="宋体" w:eastAsia="宋体"/>
                <w:sz w:val="24"/>
              </w:rPr>
              <w:t>3、设备持续工作时间≥8h(一次性充满电使用时间)；充电方式：可以使用充电宝充电；</w:t>
            </w:r>
          </w:p>
          <w:p>
            <w:pPr>
              <w:pStyle w:val="null3"/>
              <w:jc w:val="both"/>
            </w:pPr>
            <w:r>
              <w:rPr>
                <w:rFonts w:ascii="宋体" w:hAnsi="宋体" w:cs="宋体" w:eastAsia="宋体"/>
                <w:sz w:val="24"/>
              </w:rPr>
              <w:t>4、设备尺寸≤75(长)*45(宽)*25(高)mm；设备净重≤85g</w:t>
            </w:r>
            <w:r>
              <w:rPr>
                <w:rFonts w:ascii="宋体" w:hAnsi="宋体" w:cs="宋体" w:eastAsia="宋体"/>
                <w:sz w:val="24"/>
              </w:rPr>
              <w:t>。</w:t>
            </w:r>
          </w:p>
        </w:tc>
      </w:tr>
      <w:tr>
        <w:tc>
          <w:tcPr>
            <w:tcW w:type="dxa" w:w="7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三合</w:t>
            </w:r>
          </w:p>
          <w:p>
            <w:pPr>
              <w:pStyle w:val="null3"/>
              <w:jc w:val="center"/>
            </w:pPr>
            <w:r>
              <w:rPr>
                <w:rFonts w:ascii="宋体" w:hAnsi="宋体" w:cs="宋体" w:eastAsia="宋体"/>
                <w:sz w:val="24"/>
              </w:rPr>
              <w:t>对讲机</w:t>
            </w:r>
          </w:p>
        </w:tc>
        <w:tc>
          <w:tcPr>
            <w:tcW w:type="dxa" w:w="10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1.网络制式：支持地面全网通+天通卫星双卡双待,优先使用地面全网通和数据传输，天通工作频段:上行1980MHz-2010MHz.下行2170MHz-2200MHz；</w:t>
            </w:r>
          </w:p>
          <w:p>
            <w:pPr>
              <w:pStyle w:val="null3"/>
              <w:jc w:val="both"/>
            </w:pPr>
            <w:r>
              <w:rPr>
                <w:rFonts w:ascii="宋体" w:hAnsi="宋体" w:cs="宋体" w:eastAsia="宋体"/>
                <w:sz w:val="24"/>
                <w:color w:val="000000"/>
              </w:rPr>
              <w:t>2.屏幕:高清屏,屏幕尺寸≥</w:t>
            </w:r>
            <w:r>
              <w:rPr>
                <w:rFonts w:ascii="宋体" w:hAnsi="宋体" w:cs="宋体" w:eastAsia="宋体"/>
                <w:sz w:val="24"/>
                <w:color w:val="000000"/>
              </w:rPr>
              <w:t>2.8</w:t>
            </w:r>
            <w:r>
              <w:rPr>
                <w:rFonts w:ascii="宋体" w:hAnsi="宋体" w:cs="宋体" w:eastAsia="宋体"/>
                <w:sz w:val="24"/>
                <w:color w:val="000000"/>
              </w:rPr>
              <w:t>寸</w:t>
            </w:r>
            <w:r>
              <w:rPr>
                <w:rFonts w:ascii="宋体" w:hAnsi="宋体" w:cs="宋体" w:eastAsia="宋体"/>
                <w:sz w:val="24"/>
                <w:color w:val="000000"/>
              </w:rPr>
              <w:t>,分辨率≥</w:t>
            </w:r>
            <w:r>
              <w:rPr>
                <w:rFonts w:ascii="宋体" w:hAnsi="宋体" w:cs="宋体" w:eastAsia="宋体"/>
                <w:sz w:val="24"/>
                <w:color w:val="000000"/>
              </w:rPr>
              <w:t>480</w:t>
            </w:r>
            <w:r>
              <w:rPr>
                <w:rFonts w:ascii="宋体" w:hAnsi="宋体" w:cs="宋体" w:eastAsia="宋体"/>
                <w:sz w:val="24"/>
                <w:color w:val="000000"/>
              </w:rPr>
              <w:t>*</w:t>
            </w:r>
            <w:r>
              <w:rPr>
                <w:rFonts w:ascii="宋体" w:hAnsi="宋体" w:cs="宋体" w:eastAsia="宋体"/>
                <w:sz w:val="24"/>
                <w:color w:val="000000"/>
              </w:rPr>
              <w:t>640</w:t>
            </w:r>
            <w:r>
              <w:rPr>
                <w:rFonts w:ascii="宋体" w:hAnsi="宋体" w:cs="宋体" w:eastAsia="宋体"/>
                <w:sz w:val="24"/>
                <w:color w:val="000000"/>
              </w:rPr>
              <w:t>,多点触摸触屏类型；摄像头:后置不低于800万像素,支持闪光灯；高容量聚合物电池：≥5000mA,续航时间长，充电接口为TYPE-C与手机通用；</w:t>
            </w:r>
          </w:p>
          <w:p>
            <w:pPr>
              <w:pStyle w:val="null3"/>
              <w:jc w:val="both"/>
            </w:pPr>
            <w:r>
              <w:rPr>
                <w:rFonts w:ascii="宋体" w:hAnsi="宋体" w:cs="宋体" w:eastAsia="宋体"/>
                <w:sz w:val="24"/>
                <w:color w:val="000000"/>
              </w:rPr>
              <w:t>3.CPU:不低于</w:t>
            </w:r>
            <w:r>
              <w:rPr>
                <w:rFonts w:ascii="宋体" w:hAnsi="宋体" w:cs="宋体" w:eastAsia="宋体"/>
                <w:sz w:val="24"/>
                <w:color w:val="000000"/>
              </w:rPr>
              <w:t>四</w:t>
            </w:r>
            <w:r>
              <w:rPr>
                <w:rFonts w:ascii="宋体" w:hAnsi="宋体" w:cs="宋体" w:eastAsia="宋体"/>
                <w:sz w:val="24"/>
                <w:color w:val="000000"/>
              </w:rPr>
              <w:t>核</w:t>
            </w:r>
            <w:r>
              <w:rPr>
                <w:rFonts w:ascii="宋体" w:hAnsi="宋体" w:cs="宋体" w:eastAsia="宋体"/>
                <w:sz w:val="24"/>
                <w:color w:val="000000"/>
              </w:rPr>
              <w:t>,主频≥2.OGHZ;RAM不小于2GB;ROM不小于32GB,并支持不低于128G的扩展卡；支持WiFi,蓝牙,内置光传感器、磁力传感器、重力传感器、距离传感、陀螺仪、指南针；带独立按键强光手电筒,便于应急照明；带PTT对讲键,支持公网对讲;支持SOS物理按键一键求援/一键报警</w:t>
            </w:r>
            <w:r>
              <w:rPr>
                <w:rFonts w:ascii="宋体" w:hAnsi="宋体" w:cs="宋体" w:eastAsia="宋体"/>
                <w:sz w:val="24"/>
              </w:rPr>
              <w:t>；</w:t>
            </w:r>
            <w:r>
              <w:rPr>
                <w:rFonts w:ascii="宋体" w:hAnsi="宋体" w:cs="宋体" w:eastAsia="宋体"/>
                <w:sz w:val="24"/>
              </w:rPr>
              <w:t>定位：</w:t>
            </w:r>
            <w:r>
              <w:rPr>
                <w:rFonts w:ascii="宋体" w:hAnsi="宋体" w:cs="宋体" w:eastAsia="宋体"/>
                <w:sz w:val="24"/>
              </w:rPr>
              <w:t>支持</w:t>
            </w:r>
            <w:r>
              <w:rPr>
                <w:rFonts w:ascii="宋体" w:hAnsi="宋体" w:cs="宋体" w:eastAsia="宋体"/>
                <w:sz w:val="24"/>
              </w:rPr>
              <w:t>单</w:t>
            </w:r>
            <w:r>
              <w:rPr>
                <w:rFonts w:ascii="宋体" w:hAnsi="宋体" w:cs="宋体" w:eastAsia="宋体"/>
                <w:sz w:val="24"/>
              </w:rPr>
              <w:t>北斗定位功能</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4.带AI智能降噪功能，能消除环境噪音，确保户外语音通话清晰；</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5.操作系统：支持HarmonyOS3.0系统及以上或Android12.0系统及以上；</w:t>
            </w:r>
          </w:p>
          <w:p>
            <w:pPr>
              <w:pStyle w:val="null3"/>
              <w:jc w:val="both"/>
            </w:pPr>
            <w:r>
              <w:rPr>
                <w:rFonts w:ascii="宋体" w:hAnsi="宋体" w:cs="宋体" w:eastAsia="宋体"/>
                <w:sz w:val="24"/>
              </w:rPr>
              <w:t>▲</w:t>
            </w:r>
            <w:r>
              <w:rPr>
                <w:rFonts w:ascii="宋体" w:hAnsi="宋体" w:cs="宋体" w:eastAsia="宋体"/>
                <w:sz w:val="24"/>
              </w:rPr>
              <w:t>6.工作温度:可满足-</w:t>
            </w:r>
            <w:r>
              <w:rPr>
                <w:rFonts w:ascii="宋体" w:hAnsi="宋体" w:cs="宋体" w:eastAsia="宋体"/>
                <w:sz w:val="24"/>
              </w:rPr>
              <w:t>20</w:t>
            </w:r>
            <w:r>
              <w:rPr>
                <w:rFonts w:ascii="宋体" w:hAnsi="宋体" w:cs="宋体" w:eastAsia="宋体"/>
                <w:sz w:val="24"/>
              </w:rPr>
              <w:t>℃~60℃；</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w:t>
            </w:r>
            <w:r>
              <w:rPr>
                <w:rFonts w:ascii="宋体" w:hAnsi="宋体" w:cs="宋体" w:eastAsia="宋体"/>
                <w:sz w:val="24"/>
              </w:rPr>
              <w:t>7.防护等级≥lP6</w:t>
            </w:r>
            <w:r>
              <w:rPr>
                <w:rFonts w:ascii="宋体" w:hAnsi="宋体" w:cs="宋体" w:eastAsia="宋体"/>
                <w:sz w:val="24"/>
              </w:rPr>
              <w:t>8</w:t>
            </w:r>
            <w:r>
              <w:rPr>
                <w:rFonts w:ascii="宋体" w:hAnsi="宋体" w:cs="宋体" w:eastAsia="宋体"/>
                <w:sz w:val="24"/>
              </w:rPr>
              <w:t>,跌落防护不低于1.</w:t>
            </w:r>
            <w:r>
              <w:rPr>
                <w:rFonts w:ascii="宋体" w:hAnsi="宋体" w:cs="宋体" w:eastAsia="宋体"/>
                <w:sz w:val="24"/>
              </w:rPr>
              <w:t>8</w:t>
            </w:r>
            <w:r>
              <w:rPr>
                <w:rFonts w:ascii="宋体" w:hAnsi="宋体" w:cs="宋体" w:eastAsia="宋体"/>
                <w:sz w:val="24"/>
              </w:rPr>
              <w:t>米；</w:t>
            </w:r>
            <w:r>
              <w:rPr>
                <w:rFonts w:ascii="宋体" w:hAnsi="宋体" w:cs="宋体" w:eastAsia="宋体"/>
                <w:sz w:val="24"/>
                <w:b/>
              </w:rPr>
              <w:t>[须提供</w:t>
            </w:r>
            <w:r>
              <w:rPr>
                <w:rFonts w:ascii="宋体" w:hAnsi="宋体" w:cs="宋体" w:eastAsia="宋体"/>
                <w:sz w:val="24"/>
                <w:b/>
              </w:rPr>
              <w:t>CMA/CNAS等</w:t>
            </w:r>
            <w:r>
              <w:rPr>
                <w:rFonts w:ascii="宋体" w:hAnsi="宋体" w:cs="宋体" w:eastAsia="宋体"/>
                <w:sz w:val="24"/>
                <w:b/>
              </w:rPr>
              <w:t>国家</w:t>
            </w:r>
            <w:r>
              <w:rPr>
                <w:rFonts w:ascii="宋体" w:hAnsi="宋体" w:cs="宋体" w:eastAsia="宋体"/>
                <w:sz w:val="24"/>
                <w:b/>
              </w:rPr>
              <w:t>认证的</w:t>
            </w:r>
            <w:r>
              <w:rPr>
                <w:rFonts w:ascii="宋体" w:hAnsi="宋体" w:cs="宋体" w:eastAsia="宋体"/>
                <w:sz w:val="24"/>
                <w:b/>
              </w:rPr>
              <w:t>检测报告佐证</w:t>
            </w:r>
            <w:r>
              <w:rPr>
                <w:rFonts w:ascii="宋体" w:hAnsi="宋体" w:cs="宋体" w:eastAsia="宋体"/>
                <w:sz w:val="24"/>
                <w:b/>
              </w:rPr>
              <w:t>]</w:t>
            </w:r>
          </w:p>
          <w:p>
            <w:pPr>
              <w:pStyle w:val="null3"/>
              <w:jc w:val="both"/>
            </w:pPr>
            <w:r>
              <w:rPr>
                <w:rFonts w:ascii="宋体" w:hAnsi="宋体" w:cs="宋体" w:eastAsia="宋体"/>
                <w:sz w:val="24"/>
              </w:rPr>
              <w:t>8.天通天线支持可拆卸可外接全向或车载天线；支持自动位置上报；配件包括背夹，充电器，数据线等。</w:t>
            </w:r>
          </w:p>
          <w:p>
            <w:pPr>
              <w:pStyle w:val="null3"/>
              <w:jc w:val="both"/>
            </w:pPr>
          </w:p>
        </w:tc>
      </w:tr>
      <w:tr>
        <w:tc>
          <w:tcPr>
            <w:tcW w:type="dxa" w:w="7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应急电源</w:t>
            </w:r>
          </w:p>
        </w:tc>
        <w:tc>
          <w:tcPr>
            <w:tcW w:type="dxa" w:w="10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▲1.容量≥1000W</w:t>
            </w:r>
            <w:r>
              <w:rPr>
                <w:rFonts w:ascii="宋体" w:hAnsi="宋体" w:cs="宋体" w:eastAsia="宋体"/>
                <w:sz w:val="24"/>
              </w:rPr>
              <w:t>h</w:t>
            </w:r>
            <w:r>
              <w:rPr>
                <w:rFonts w:ascii="宋体" w:hAnsi="宋体" w:cs="宋体" w:eastAsia="宋体"/>
                <w:sz w:val="24"/>
              </w:rPr>
              <w:t>;</w:t>
            </w:r>
          </w:p>
          <w:p>
            <w:pPr>
              <w:pStyle w:val="null3"/>
              <w:jc w:val="both"/>
            </w:pPr>
            <w:r>
              <w:rPr>
                <w:rFonts w:ascii="宋体" w:hAnsi="宋体" w:cs="宋体" w:eastAsia="宋体"/>
                <w:sz w:val="24"/>
              </w:rPr>
              <w:t>▲2.太阳能XT60输入≥</w:t>
            </w:r>
            <w:r>
              <w:rPr>
                <w:rFonts w:ascii="宋体" w:hAnsi="宋体" w:cs="宋体" w:eastAsia="宋体"/>
                <w:sz w:val="24"/>
              </w:rPr>
              <w:t>200</w:t>
            </w:r>
            <w:r>
              <w:rPr>
                <w:rFonts w:ascii="宋体" w:hAnsi="宋体" w:cs="宋体" w:eastAsia="宋体"/>
                <w:sz w:val="24"/>
              </w:rPr>
              <w:t>W</w:t>
            </w:r>
            <w:r>
              <w:rPr>
                <w:rFonts w:ascii="宋体" w:hAnsi="宋体" w:cs="宋体" w:eastAsia="宋体"/>
                <w:sz w:val="24"/>
              </w:rPr>
              <w:t>;</w:t>
            </w:r>
          </w:p>
          <w:p>
            <w:pPr>
              <w:pStyle w:val="null3"/>
              <w:jc w:val="both"/>
            </w:pPr>
            <w:r>
              <w:rPr>
                <w:rFonts w:ascii="宋体" w:hAnsi="宋体" w:cs="宋体" w:eastAsia="宋体"/>
                <w:sz w:val="24"/>
              </w:rPr>
              <w:t>▲3.AC输入：≥</w:t>
            </w:r>
            <w:r>
              <w:rPr>
                <w:rFonts w:ascii="宋体" w:hAnsi="宋体" w:cs="宋体" w:eastAsia="宋体"/>
                <w:sz w:val="24"/>
              </w:rPr>
              <w:t>500</w:t>
            </w:r>
            <w:r>
              <w:rPr>
                <w:rFonts w:ascii="宋体" w:hAnsi="宋体" w:cs="宋体" w:eastAsia="宋体"/>
                <w:sz w:val="24"/>
              </w:rPr>
              <w:t>W</w:t>
            </w:r>
            <w:r>
              <w:rPr>
                <w:rFonts w:ascii="宋体" w:hAnsi="宋体" w:cs="宋体" w:eastAsia="宋体"/>
                <w:sz w:val="24"/>
              </w:rPr>
              <w:t>;</w:t>
            </w:r>
          </w:p>
          <w:p>
            <w:pPr>
              <w:pStyle w:val="null3"/>
              <w:jc w:val="both"/>
            </w:pPr>
            <w:r>
              <w:rPr>
                <w:rFonts w:ascii="宋体" w:hAnsi="宋体" w:cs="宋体" w:eastAsia="宋体"/>
                <w:sz w:val="24"/>
              </w:rPr>
              <w:t>▲4.1*车充/1*DC输出≥</w:t>
            </w:r>
            <w:r>
              <w:rPr>
                <w:rFonts w:ascii="宋体" w:hAnsi="宋体" w:cs="宋体" w:eastAsia="宋体"/>
                <w:sz w:val="24"/>
              </w:rPr>
              <w:t>60</w:t>
            </w:r>
            <w:r>
              <w:rPr>
                <w:rFonts w:ascii="宋体" w:hAnsi="宋体" w:cs="宋体" w:eastAsia="宋体"/>
                <w:sz w:val="24"/>
              </w:rPr>
              <w:t>W</w:t>
            </w:r>
            <w:r>
              <w:rPr>
                <w:rFonts w:ascii="宋体" w:hAnsi="宋体" w:cs="宋体" w:eastAsia="宋体"/>
                <w:sz w:val="24"/>
              </w:rPr>
              <w:t>;</w:t>
            </w:r>
          </w:p>
          <w:p>
            <w:pPr>
              <w:pStyle w:val="null3"/>
              <w:jc w:val="both"/>
            </w:pPr>
            <w:r>
              <w:rPr>
                <w:rFonts w:ascii="宋体" w:hAnsi="宋体" w:cs="宋体" w:eastAsia="宋体"/>
                <w:sz w:val="24"/>
              </w:rPr>
              <w:t>▲5.2*USB-A输出≥18W</w:t>
            </w:r>
            <w:r>
              <w:rPr>
                <w:rFonts w:ascii="宋体" w:hAnsi="宋体" w:cs="宋体" w:eastAsia="宋体"/>
                <w:sz w:val="24"/>
              </w:rPr>
              <w:t>;</w:t>
            </w:r>
          </w:p>
          <w:p>
            <w:pPr>
              <w:pStyle w:val="null3"/>
              <w:jc w:val="both"/>
            </w:pPr>
            <w:r>
              <w:rPr>
                <w:rFonts w:ascii="宋体" w:hAnsi="宋体" w:cs="宋体" w:eastAsia="宋体"/>
                <w:sz w:val="24"/>
              </w:rPr>
              <w:t>6.Max2*AC输出≥1000W</w:t>
            </w:r>
            <w:r>
              <w:rPr>
                <w:rFonts w:ascii="宋体" w:hAnsi="宋体" w:cs="宋体" w:eastAsia="宋体"/>
                <w:sz w:val="24"/>
              </w:rPr>
              <w:t>;</w:t>
            </w:r>
          </w:p>
          <w:p>
            <w:pPr>
              <w:pStyle w:val="null3"/>
              <w:jc w:val="both"/>
            </w:pPr>
            <w:r>
              <w:rPr>
                <w:rFonts w:ascii="宋体" w:hAnsi="宋体" w:cs="宋体" w:eastAsia="宋体"/>
                <w:sz w:val="24"/>
              </w:rPr>
              <w:t>7.尺寸≤</w:t>
            </w:r>
            <w:r>
              <w:rPr>
                <w:rFonts w:ascii="宋体" w:hAnsi="宋体" w:cs="宋体" w:eastAsia="宋体"/>
                <w:sz w:val="24"/>
              </w:rPr>
              <w:t>400</w:t>
            </w:r>
            <w:r>
              <w:rPr>
                <w:rFonts w:ascii="宋体" w:hAnsi="宋体" w:cs="宋体" w:eastAsia="宋体"/>
                <w:sz w:val="24"/>
              </w:rPr>
              <w:t>*</w:t>
            </w:r>
            <w:r>
              <w:rPr>
                <w:rFonts w:ascii="宋体" w:hAnsi="宋体" w:cs="宋体" w:eastAsia="宋体"/>
                <w:sz w:val="24"/>
              </w:rPr>
              <w:t>300</w:t>
            </w:r>
            <w:r>
              <w:rPr>
                <w:rFonts w:ascii="宋体" w:hAnsi="宋体" w:cs="宋体" w:eastAsia="宋体"/>
                <w:sz w:val="24"/>
              </w:rPr>
              <w:t>*</w:t>
            </w:r>
            <w:r>
              <w:rPr>
                <w:rFonts w:ascii="宋体" w:hAnsi="宋体" w:cs="宋体" w:eastAsia="宋体"/>
                <w:sz w:val="24"/>
              </w:rPr>
              <w:t>300</w:t>
            </w:r>
            <w:r>
              <w:rPr>
                <w:rFonts w:ascii="宋体" w:hAnsi="宋体" w:cs="宋体" w:eastAsia="宋体"/>
                <w:sz w:val="24"/>
              </w:rPr>
              <w:t>mm</w:t>
            </w:r>
            <w:r>
              <w:rPr>
                <w:rFonts w:ascii="宋体" w:hAnsi="宋体" w:cs="宋体" w:eastAsia="宋体"/>
                <w:sz w:val="24"/>
              </w:rPr>
              <w:t>;</w:t>
            </w:r>
          </w:p>
          <w:p>
            <w:pPr>
              <w:pStyle w:val="null3"/>
              <w:jc w:val="both"/>
            </w:pPr>
            <w:r>
              <w:rPr>
                <w:rFonts w:ascii="宋体" w:hAnsi="宋体" w:cs="宋体" w:eastAsia="宋体"/>
                <w:sz w:val="24"/>
              </w:rPr>
              <w:t>8.重量：电源箱质量≤10KG</w:t>
            </w:r>
            <w:r>
              <w:rPr>
                <w:rFonts w:ascii="宋体" w:hAnsi="宋体" w:cs="宋体" w:eastAsia="宋体"/>
                <w:sz w:val="24"/>
              </w:rPr>
              <w:t>;</w:t>
            </w:r>
          </w:p>
          <w:p>
            <w:pPr>
              <w:pStyle w:val="null3"/>
              <w:jc w:val="both"/>
            </w:pPr>
            <w:r>
              <w:rPr>
                <w:rFonts w:ascii="宋体" w:hAnsi="宋体" w:cs="宋体" w:eastAsia="宋体"/>
                <w:sz w:val="24"/>
              </w:rPr>
              <w:t>9.≥工作温度-</w:t>
            </w:r>
            <w:r>
              <w:rPr>
                <w:rFonts w:ascii="宋体" w:hAnsi="宋体" w:cs="宋体" w:eastAsia="宋体"/>
                <w:sz w:val="24"/>
              </w:rPr>
              <w:t>10</w:t>
            </w:r>
            <w:r>
              <w:rPr>
                <w:rFonts w:ascii="宋体" w:hAnsi="宋体" w:cs="宋体" w:eastAsia="宋体"/>
                <w:sz w:val="24"/>
              </w:rPr>
              <w:t>℃～+</w:t>
            </w:r>
            <w:r>
              <w:rPr>
                <w:rFonts w:ascii="宋体" w:hAnsi="宋体" w:cs="宋体" w:eastAsia="宋体"/>
                <w:sz w:val="24"/>
              </w:rPr>
              <w:t>40</w:t>
            </w:r>
            <w:r>
              <w:rPr>
                <w:rFonts w:ascii="宋体" w:hAnsi="宋体" w:cs="宋体" w:eastAsia="宋体"/>
                <w:sz w:val="24"/>
              </w:rPr>
              <w:t>℃</w:t>
            </w:r>
            <w:r>
              <w:rPr>
                <w:rFonts w:ascii="宋体" w:hAnsi="宋体" w:cs="宋体" w:eastAsia="宋体"/>
                <w:sz w:val="24"/>
              </w:rPr>
              <w:t>；</w:t>
            </w:r>
          </w:p>
          <w:p>
            <w:pPr>
              <w:pStyle w:val="null3"/>
              <w:jc w:val="both"/>
            </w:pPr>
            <w:r>
              <w:rPr>
                <w:rFonts w:ascii="宋体" w:hAnsi="宋体" w:cs="宋体" w:eastAsia="宋体"/>
                <w:sz w:val="24"/>
              </w:rPr>
              <w:t>▲10.充电方式：220V市电直充，太阳能充电，车载充电</w:t>
            </w:r>
            <w:r>
              <w:rPr>
                <w:rFonts w:ascii="宋体" w:hAnsi="宋体" w:cs="宋体" w:eastAsia="宋体"/>
                <w:sz w:val="24"/>
              </w:rPr>
              <w:t>，发电机充电；</w:t>
            </w:r>
          </w:p>
          <w:p>
            <w:pPr>
              <w:pStyle w:val="null3"/>
              <w:jc w:val="both"/>
            </w:pPr>
            <w:r>
              <w:rPr>
                <w:rFonts w:ascii="宋体" w:hAnsi="宋体" w:cs="宋体" w:eastAsia="宋体"/>
                <w:sz w:val="24"/>
              </w:rPr>
              <w:t>▲11．智能功能：设备需可通过蓝牙或Wi-Fi连接手机APP随时查看电源使用情况</w:t>
            </w:r>
            <w:r>
              <w:rPr>
                <w:rFonts w:ascii="宋体" w:hAnsi="宋体" w:cs="宋体" w:eastAsia="宋体"/>
                <w:sz w:val="24"/>
              </w:rPr>
              <w:t>；</w:t>
            </w:r>
          </w:p>
          <w:p>
            <w:pPr>
              <w:pStyle w:val="null3"/>
              <w:jc w:val="both"/>
            </w:pPr>
            <w:r>
              <w:rPr>
                <w:rFonts w:ascii="宋体" w:hAnsi="宋体" w:cs="宋体" w:eastAsia="宋体"/>
                <w:sz w:val="24"/>
              </w:rPr>
              <w:t>▲12.安全性能：设备在过充、过放、短路、过流等异常情况下，应不发生着火、爆炸现象，具备过充保护、过温保护、过放保护、过流保护、短路保护，欠压保护系统。</w:t>
            </w:r>
          </w:p>
        </w:tc>
      </w:tr>
    </w:tbl>
    <w:p>
      <w:pPr>
        <w:pStyle w:val="null3"/>
      </w:pPr>
      <w:r>
        <w:rPr/>
        <w:t xml:space="preserve"> </w:t>
      </w:r>
    </w:p>
    <w:p>
      <w:pPr>
        <w:pStyle w:val="null3"/>
        <w:ind w:left="-180" w:right="-180"/>
        <w:jc w:val="left"/>
      </w:pPr>
      <w:r>
        <w:rPr>
          <w:rFonts w:ascii="宋体" w:hAnsi="宋体" w:cs="宋体" w:eastAsia="宋体"/>
          <w:sz w:val="24"/>
        </w:rPr>
        <w:t>（二）投标时须提供样品：</w:t>
      </w:r>
    </w:p>
    <w:p>
      <w:pPr>
        <w:pStyle w:val="null3"/>
        <w:ind w:left="-180" w:right="-180" w:firstLine="480"/>
        <w:jc w:val="left"/>
      </w:pPr>
      <w:r>
        <w:rPr>
          <w:rFonts w:ascii="宋体" w:hAnsi="宋体" w:cs="宋体" w:eastAsia="宋体"/>
          <w:sz w:val="24"/>
        </w:rPr>
        <w:t>（</w:t>
      </w:r>
      <w:r>
        <w:rPr>
          <w:rFonts w:ascii="宋体" w:hAnsi="宋体" w:cs="宋体" w:eastAsia="宋体"/>
          <w:sz w:val="24"/>
        </w:rPr>
        <w:t>1）序号</w:t>
      </w:r>
      <w:r>
        <w:rPr>
          <w:rFonts w:ascii="宋体" w:hAnsi="宋体" w:cs="宋体" w:eastAsia="宋体"/>
          <w:sz w:val="24"/>
        </w:rPr>
        <w:t>1</w:t>
      </w:r>
    </w:p>
    <w:tbl>
      <w:tblPr>
        <w:tblW w:w="0" w:type="auto"/>
        <w:tblBorders>
          <w:top w:val="none" w:color="000000" w:sz="4"/>
          <w:left w:val="none" w:color="000000" w:sz="4"/>
          <w:bottom w:val="none" w:color="000000" w:sz="4"/>
          <w:right w:val="none" w:color="000000" w:sz="4"/>
          <w:insideH w:val="none"/>
          <w:insideV w:val="none"/>
        </w:tblBorders>
      </w:tblPr>
      <w:tblGrid>
        <w:gridCol w:w="933"/>
        <w:gridCol w:w="2116"/>
        <w:gridCol w:w="884"/>
        <w:gridCol w:w="8505"/>
      </w:tblGrid>
      <w:tr>
        <w:tc>
          <w:tcPr>
            <w:tcW w:type="dxa" w:w="9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序号</w:t>
            </w:r>
          </w:p>
        </w:tc>
        <w:tc>
          <w:tcPr>
            <w:tcW w:type="dxa" w:w="21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样品名称</w:t>
            </w:r>
          </w:p>
        </w:tc>
        <w:tc>
          <w:tcPr>
            <w:tcW w:type="dxa" w:w="8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样品数量</w:t>
            </w:r>
          </w:p>
        </w:tc>
        <w:tc>
          <w:tcPr>
            <w:tcW w:type="dxa" w:w="85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样品要求及评审标准</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样品</w:t>
            </w:r>
            <w:r>
              <w:rPr>
                <w:rFonts w:ascii="宋体" w:hAnsi="宋体" w:cs="宋体" w:eastAsia="宋体"/>
                <w:sz w:val="24"/>
                <w:b/>
              </w:rPr>
              <w:t>1</w:t>
            </w:r>
          </w:p>
        </w:tc>
        <w:tc>
          <w:tcPr>
            <w:tcW w:type="dxa" w:w="2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智能高压</w:t>
            </w:r>
          </w:p>
          <w:p>
            <w:pPr>
              <w:pStyle w:val="null3"/>
              <w:jc w:val="center"/>
            </w:pPr>
            <w:r>
              <w:rPr>
                <w:rFonts w:ascii="宋体" w:hAnsi="宋体" w:cs="宋体" w:eastAsia="宋体"/>
                <w:sz w:val="24"/>
              </w:rPr>
              <w:t>便携水泵</w:t>
            </w:r>
            <w:r>
              <w:rPr>
                <w:rFonts w:ascii="宋体" w:hAnsi="宋体" w:cs="宋体" w:eastAsia="宋体"/>
                <w:sz w:val="24"/>
              </w:rPr>
              <w:t>：</w:t>
            </w:r>
          </w:p>
          <w:p>
            <w:pPr>
              <w:pStyle w:val="null3"/>
              <w:jc w:val="center"/>
            </w:pPr>
            <w:r>
              <w:rPr>
                <w:rFonts w:ascii="宋体" w:hAnsi="宋体" w:cs="宋体" w:eastAsia="宋体"/>
                <w:sz w:val="24"/>
                <w:b/>
              </w:rPr>
              <w:t>主机一台、自动吸水装置一个、单向阀一个、泡沫枪一把、</w:t>
            </w:r>
            <w:r>
              <w:rPr>
                <w:rFonts w:ascii="宋体" w:hAnsi="宋体" w:cs="宋体" w:eastAsia="宋体"/>
                <w:sz w:val="24"/>
                <w:b/>
              </w:rPr>
              <w:t>报警器一个</w:t>
            </w:r>
          </w:p>
        </w:tc>
        <w:tc>
          <w:tcPr>
            <w:tcW w:type="dxa" w:w="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b/>
              </w:rPr>
              <w:t>1</w:t>
            </w:r>
          </w:p>
        </w:tc>
        <w:tc>
          <w:tcPr>
            <w:tcW w:type="dxa" w:w="85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1</w:t>
            </w:r>
            <w:r>
              <w:rPr>
                <w:rFonts w:ascii="宋体" w:hAnsi="宋体" w:cs="宋体" w:eastAsia="宋体"/>
                <w:sz w:val="24"/>
                <w:b/>
              </w:rPr>
              <w:t>.</w:t>
            </w:r>
            <w:r>
              <w:rPr>
                <w:rFonts w:ascii="宋体" w:hAnsi="宋体" w:cs="宋体" w:eastAsia="宋体"/>
                <w:sz w:val="24"/>
                <w:b/>
              </w:rPr>
              <w:t>主机水泵体：</w:t>
            </w:r>
          </w:p>
          <w:p>
            <w:pPr>
              <w:pStyle w:val="null3"/>
              <w:jc w:val="both"/>
            </w:pPr>
            <w:r>
              <w:rPr>
                <w:rFonts w:ascii="宋体" w:hAnsi="宋体" w:cs="宋体" w:eastAsia="宋体"/>
                <w:sz w:val="24"/>
                <w:b/>
              </w:rPr>
              <w:t>1-1装有环泵泡沫比例混合器；</w:t>
            </w:r>
          </w:p>
          <w:p>
            <w:pPr>
              <w:pStyle w:val="null3"/>
              <w:jc w:val="both"/>
            </w:pPr>
            <w:r>
              <w:rPr>
                <w:rFonts w:ascii="宋体" w:hAnsi="宋体" w:cs="宋体" w:eastAsia="宋体"/>
                <w:sz w:val="24"/>
              </w:rPr>
              <w:t>装有环泵泡沫比例混合器，泡沫比例调节阀</w:t>
            </w:r>
            <w:r>
              <w:rPr>
                <w:rFonts w:ascii="宋体" w:hAnsi="宋体" w:cs="宋体" w:eastAsia="宋体"/>
                <w:sz w:val="24"/>
              </w:rPr>
              <w:t>与主泵为一体化，泡沫比例大中小手动可调，使用时泡沫比例调节阀有三档可调节（标识有量百分比），每调一个挡要有明显量比档位感；</w:t>
            </w:r>
          </w:p>
          <w:p>
            <w:pPr>
              <w:pStyle w:val="null3"/>
              <w:jc w:val="both"/>
            </w:pPr>
            <w:r>
              <w:rPr>
                <w:rFonts w:ascii="宋体" w:hAnsi="宋体" w:cs="宋体" w:eastAsia="宋体"/>
                <w:sz w:val="24"/>
                <w:b/>
              </w:rPr>
              <w:t>1-2水冷消音装置与主泵为一体化；</w:t>
            </w:r>
            <w:r>
              <w:rPr>
                <w:rFonts w:ascii="宋体" w:hAnsi="宋体" w:cs="宋体" w:eastAsia="宋体"/>
                <w:sz w:val="24"/>
                <w:b/>
              </w:rPr>
              <w:t>(</w:t>
            </w:r>
            <w:r>
              <w:rPr>
                <w:rFonts w:ascii="宋体" w:hAnsi="宋体" w:cs="宋体" w:eastAsia="宋体"/>
                <w:sz w:val="24"/>
              </w:rPr>
              <w:t>消音器和排气管装置为一体化，装有强制闭路水循环冷却装置</w:t>
            </w:r>
            <w:r>
              <w:rPr>
                <w:rFonts w:ascii="宋体" w:hAnsi="宋体" w:cs="宋体" w:eastAsia="宋体"/>
                <w:sz w:val="24"/>
              </w:rPr>
              <w:t>)；</w:t>
            </w:r>
          </w:p>
          <w:p>
            <w:pPr>
              <w:pStyle w:val="null3"/>
              <w:jc w:val="both"/>
            </w:pPr>
            <w:r>
              <w:rPr>
                <w:rFonts w:ascii="宋体" w:hAnsi="宋体" w:cs="宋体" w:eastAsia="宋体"/>
                <w:sz w:val="24"/>
                <w:b/>
              </w:rPr>
              <w:t>1-3开关模式：</w:t>
            </w:r>
            <w:r>
              <w:rPr>
                <w:rFonts w:ascii="宋体" w:hAnsi="宋体" w:cs="宋体" w:eastAsia="宋体"/>
                <w:sz w:val="24"/>
              </w:rPr>
              <w:t>主泵装有三个操作开关，标识分别有电启动开关、熄火</w:t>
            </w:r>
            <w:r>
              <w:rPr>
                <w:rFonts w:ascii="宋体" w:hAnsi="宋体" w:cs="宋体" w:eastAsia="宋体"/>
                <w:sz w:val="24"/>
              </w:rPr>
              <w:t>/急停开关、保护开关；</w:t>
            </w:r>
          </w:p>
          <w:p>
            <w:pPr>
              <w:pStyle w:val="null3"/>
              <w:jc w:val="both"/>
            </w:pPr>
            <w:r>
              <w:rPr>
                <w:rFonts w:ascii="宋体" w:hAnsi="宋体" w:cs="宋体" w:eastAsia="宋体"/>
                <w:sz w:val="24"/>
                <w:b/>
              </w:rPr>
              <w:t>2</w:t>
            </w:r>
            <w:r>
              <w:rPr>
                <w:rFonts w:ascii="宋体" w:hAnsi="宋体" w:cs="宋体" w:eastAsia="宋体"/>
                <w:sz w:val="24"/>
                <w:b/>
              </w:rPr>
              <w:t>.</w:t>
            </w:r>
            <w:r>
              <w:rPr>
                <w:rFonts w:ascii="宋体" w:hAnsi="宋体" w:cs="宋体" w:eastAsia="宋体"/>
                <w:sz w:val="24"/>
                <w:b/>
              </w:rPr>
              <w:t>自动吸水装置：</w:t>
            </w:r>
            <w:r>
              <w:rPr>
                <w:rFonts w:ascii="宋体" w:hAnsi="宋体" w:cs="宋体" w:eastAsia="宋体"/>
                <w:sz w:val="24"/>
              </w:rPr>
              <w:t>自带真空启停开关按钮（遇水启动上水后自动停机</w:t>
            </w:r>
            <w:r>
              <w:rPr>
                <w:rFonts w:ascii="宋体" w:hAnsi="宋体" w:cs="宋体" w:eastAsia="宋体"/>
                <w:sz w:val="24"/>
              </w:rPr>
              <w:t>.再次投入水中自动运行无需人工引水）（出水口接头无需二次转换）</w:t>
            </w:r>
            <w:r>
              <w:rPr>
                <w:rFonts w:ascii="宋体" w:hAnsi="宋体" w:cs="宋体" w:eastAsia="宋体"/>
                <w:sz w:val="24"/>
              </w:rPr>
              <w:t>；</w:t>
            </w:r>
          </w:p>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单向阀：</w:t>
            </w:r>
            <w:r>
              <w:rPr>
                <w:rFonts w:ascii="宋体" w:hAnsi="宋体" w:cs="宋体" w:eastAsia="宋体"/>
                <w:sz w:val="24"/>
              </w:rPr>
              <w:t>（单向阀装有铜质泄压减压阀，出水口设有顶杆，且橡胶密封球一直处于抵住进水口状态，保证橡胶密封球在</w:t>
            </w:r>
            <w:r>
              <w:rPr>
                <w:rFonts w:ascii="宋体" w:hAnsi="宋体" w:cs="宋体" w:eastAsia="宋体"/>
                <w:sz w:val="24"/>
              </w:rPr>
              <w:t>360℃任一角度放置不会晃动，保证了进出水口同时封闭，单向阀一直处于密封状态）；</w:t>
            </w:r>
          </w:p>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泡沫枪：</w:t>
            </w:r>
            <w:r>
              <w:rPr>
                <w:rFonts w:ascii="宋体" w:hAnsi="宋体" w:cs="宋体" w:eastAsia="宋体"/>
                <w:sz w:val="24"/>
              </w:rPr>
              <w:t>尺寸</w:t>
            </w:r>
            <w:r>
              <w:rPr>
                <w:rFonts w:ascii="宋体" w:hAnsi="宋体" w:cs="宋体" w:eastAsia="宋体"/>
                <w:sz w:val="24"/>
              </w:rPr>
              <w:t>58cm*23cm*12cm（±</w:t>
            </w:r>
            <w:r>
              <w:rPr>
                <w:rFonts w:ascii="宋体" w:hAnsi="宋体" w:cs="宋体" w:eastAsia="宋体"/>
                <w:sz w:val="24"/>
              </w:rPr>
              <w:t>5</w:t>
            </w:r>
            <w:r>
              <w:rPr>
                <w:rFonts w:ascii="宋体" w:hAnsi="宋体" w:cs="宋体" w:eastAsia="宋体"/>
                <w:sz w:val="24"/>
              </w:rPr>
              <w:t>cm)；出水口径30MM-40MM；接扣为ND40快速森林接扣；泡沫枪配有滤网过滤；可手动开关调配枪口出水流量；有把手及无后坐力设置</w:t>
            </w:r>
            <w:r>
              <w:rPr>
                <w:rFonts w:ascii="宋体" w:hAnsi="宋体" w:cs="宋体" w:eastAsia="宋体"/>
                <w:sz w:val="24"/>
              </w:rPr>
              <w:t>；</w:t>
            </w:r>
          </w:p>
          <w:p>
            <w:pPr>
              <w:pStyle w:val="null3"/>
              <w:jc w:val="both"/>
            </w:pPr>
            <w:r>
              <w:rPr>
                <w:rFonts w:ascii="宋体" w:hAnsi="宋体" w:cs="宋体" w:eastAsia="宋体"/>
                <w:sz w:val="24"/>
                <w:b/>
              </w:rPr>
              <w:t>5.</w:t>
            </w:r>
            <w:r>
              <w:rPr>
                <w:rFonts w:ascii="宋体" w:hAnsi="宋体" w:cs="宋体" w:eastAsia="宋体"/>
                <w:sz w:val="24"/>
                <w:b/>
              </w:rPr>
              <w:t>火场安全报警器：</w:t>
            </w:r>
          </w:p>
          <w:p>
            <w:pPr>
              <w:pStyle w:val="null3"/>
              <w:jc w:val="both"/>
            </w:pPr>
            <w:r>
              <w:rPr>
                <w:rFonts w:ascii="宋体" w:hAnsi="宋体" w:cs="宋体" w:eastAsia="宋体"/>
                <w:sz w:val="24"/>
              </w:rPr>
              <w:t>（肩夹式）设备尺寸</w:t>
            </w:r>
            <w:r>
              <w:rPr>
                <w:rFonts w:ascii="宋体" w:hAnsi="宋体" w:cs="宋体" w:eastAsia="宋体"/>
                <w:sz w:val="24"/>
              </w:rPr>
              <w:t>≤75(长)*45(宽)*25(高)mm、设备净重≤85g。</w:t>
            </w:r>
          </w:p>
          <w:p>
            <w:pPr>
              <w:pStyle w:val="null3"/>
              <w:jc w:val="both"/>
            </w:pPr>
          </w:p>
        </w:tc>
      </w:tr>
    </w:tbl>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4"/>
        </w:rPr>
        <w:t>样品递交：</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1）样品为投标文件有效组成部分，投标人未全部提供样品或提供的样品未满足样品要求的均视为未对招标文件作出实质性响应，按无效投标处理。</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2）样品须于投标截止时间前一个工作日16：00前送达开标指定点，于投标截止时间前一个工作日16：00前(如需安装的货物，应含安装)递交完毕，并填写《样品签到表》。</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3）样品须按顺序摆放整齐，应贴货物名称的标签并遮盖货物品牌及生产厂家，超过时间送达的样品将拒绝受理。样品和包装均不得标明投标人名 称及货物品牌。评标过程中可能对样品进行拆散等破坏性检验，由此可能造成的损坏及相关费用由投标人自行承担。</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4）样品退还安排：中标人的样品须交由采购人封存保留，作为验收样本。未中标投标人提供的样品须在采购结果公告发布后的三个工作日之内办理退回手续。投标人未在规定时间内办理退回手续的，若样品发生丢失则后果自负。</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5）中标人若所提供实物与样品不符则采购人可要求退货，采购人可按合同规定进行索赔或将暂停使用中标人提供的货物直至中标人重新提供与样品相符的货物。</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6）投标样品将作为合同执行和验收的标准之一。</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7）投标人提供的样品仅作为本次评审依据，若本项目招标需复议等，评标委员会对样品不作再次评审。</w:t>
      </w:r>
    </w:p>
    <w:p>
      <w:pPr>
        <w:pStyle w:val="null3"/>
        <w:ind w:left="-210" w:right="-570" w:firstLine="420"/>
        <w:jc w:val="both"/>
      </w:pPr>
      <w:r>
        <w:rPr>
          <w:rFonts w:ascii="宋体" w:hAnsi="宋体" w:cs="宋体" w:eastAsia="宋体"/>
          <w:sz w:val="24"/>
          <w:b/>
        </w:rPr>
        <w:t>（三）投标人未提供样品或样品不满足上述</w:t>
      </w:r>
      <w:r>
        <w:rPr>
          <w:rFonts w:ascii="宋体" w:hAnsi="宋体" w:cs="宋体" w:eastAsia="宋体"/>
          <w:sz w:val="24"/>
          <w:b/>
        </w:rPr>
        <w:t>“样品评审标准”的按照无效投标处理。</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tc>
        <w:tc>
          <w:tcPr>
            <w:tcW w:type="dxa" w:w="2076"/>
          </w:tcPr>
          <w:p>
            <w:pPr>
              <w:pStyle w:val="null3"/>
              <w:jc w:val="both"/>
            </w:pPr>
            <w:r>
              <w:rPr/>
              <w:t>交货时间</w:t>
            </w:r>
          </w:p>
        </w:tc>
        <w:tc>
          <w:tcPr>
            <w:tcW w:type="dxa" w:w="2076"/>
          </w:tcPr>
          <w:p>
            <w:pPr>
              <w:pStyle w:val="null3"/>
              <w:jc w:val="both"/>
            </w:pPr>
            <w:r>
              <w:rPr/>
              <w:t>自合同签订之日起 30 日</w:t>
            </w:r>
          </w:p>
        </w:tc>
      </w:tr>
      <w:tr>
        <w:tc>
          <w:tcPr>
            <w:tcW w:type="dxa" w:w="2076"/>
          </w:tcPr>
          <w:p>
            <w:pPr>
              <w:pStyle w:val="null3"/>
              <w:jc w:val="both"/>
            </w:pPr>
            <w:r>
              <w:rPr/>
              <w:t>2</w:t>
            </w:r>
          </w:p>
        </w:tc>
        <w:tc>
          <w:tcPr>
            <w:tcW w:type="dxa" w:w="2076"/>
          </w:tcPr>
          <w:p/>
        </w:tc>
        <w:tc>
          <w:tcPr>
            <w:tcW w:type="dxa" w:w="2076"/>
          </w:tcPr>
          <w:p>
            <w:pPr>
              <w:pStyle w:val="null3"/>
              <w:jc w:val="both"/>
            </w:pPr>
            <w:r>
              <w:rPr/>
              <w:t>交货地点</w:t>
            </w:r>
          </w:p>
        </w:tc>
        <w:tc>
          <w:tcPr>
            <w:tcW w:type="dxa" w:w="2076"/>
          </w:tcPr>
          <w:p>
            <w:pPr>
              <w:pStyle w:val="null3"/>
              <w:jc w:val="both"/>
            </w:pPr>
            <w:r>
              <w:rPr/>
              <w:t>省林业局指定的分别位于南平市建阳、三明市、龙岩市上杭、泉州市永春、宁德市蕉城的5个分库</w:t>
            </w:r>
          </w:p>
        </w:tc>
      </w:tr>
      <w:tr>
        <w:tc>
          <w:tcPr>
            <w:tcW w:type="dxa" w:w="2076"/>
          </w:tcPr>
          <w:p>
            <w:pPr>
              <w:pStyle w:val="null3"/>
              <w:jc w:val="both"/>
            </w:pPr>
            <w:r>
              <w:rPr/>
              <w:t>3</w:t>
            </w:r>
          </w:p>
        </w:tc>
        <w:tc>
          <w:tcPr>
            <w:tcW w:type="dxa" w:w="2076"/>
          </w:tcPr>
          <w:p/>
        </w:tc>
        <w:tc>
          <w:tcPr>
            <w:tcW w:type="dxa" w:w="2076"/>
          </w:tcPr>
          <w:p>
            <w:pPr>
              <w:pStyle w:val="null3"/>
              <w:jc w:val="both"/>
            </w:pPr>
            <w:r>
              <w:rPr/>
              <w:t>交货条件</w:t>
            </w:r>
          </w:p>
        </w:tc>
        <w:tc>
          <w:tcPr>
            <w:tcW w:type="dxa" w:w="2076"/>
          </w:tcPr>
          <w:p>
            <w:pPr>
              <w:pStyle w:val="null3"/>
              <w:jc w:val="both"/>
            </w:pPr>
            <w:r>
              <w:rPr/>
              <w:t>经采购人验收合格后</w:t>
            </w:r>
          </w:p>
        </w:tc>
      </w:tr>
      <w:tr>
        <w:tc>
          <w:tcPr>
            <w:tcW w:type="dxa" w:w="2076"/>
          </w:tcPr>
          <w:p>
            <w:pPr>
              <w:pStyle w:val="null3"/>
              <w:jc w:val="both"/>
            </w:pPr>
            <w:r>
              <w:rPr/>
              <w:t>4</w:t>
            </w:r>
          </w:p>
        </w:tc>
        <w:tc>
          <w:tcPr>
            <w:tcW w:type="dxa" w:w="2076"/>
          </w:tcP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tc>
        <w:tc>
          <w:tcPr>
            <w:tcW w:type="dxa" w:w="2076"/>
          </w:tcPr>
          <w:p>
            <w:pPr>
              <w:pStyle w:val="null3"/>
              <w:jc w:val="both"/>
            </w:pPr>
            <w:r>
              <w:rPr/>
              <w:t>履约验收方式</w:t>
            </w:r>
          </w:p>
        </w:tc>
        <w:tc>
          <w:tcPr>
            <w:tcW w:type="dxa" w:w="2076"/>
          </w:tcPr>
          <w:p>
            <w:pPr>
              <w:pStyle w:val="null3"/>
              <w:jc w:val="both"/>
            </w:pPr>
            <w:r>
              <w:rPr/>
              <w:t>1、期次1，说明：按照国家或行业标准及招标文件、采购合同要求验收。</w:t>
            </w:r>
          </w:p>
        </w:tc>
      </w:tr>
      <w:tr>
        <w:tc>
          <w:tcPr>
            <w:tcW w:type="dxa" w:w="2076"/>
          </w:tcPr>
          <w:p>
            <w:pPr>
              <w:pStyle w:val="null3"/>
              <w:jc w:val="both"/>
            </w:pPr>
            <w:r>
              <w:rPr/>
              <w:t>6</w:t>
            </w:r>
          </w:p>
        </w:tc>
        <w:tc>
          <w:tcPr>
            <w:tcW w:type="dxa" w:w="2076"/>
          </w:tcPr>
          <w:p/>
        </w:tc>
        <w:tc>
          <w:tcPr>
            <w:tcW w:type="dxa" w:w="2076"/>
          </w:tcPr>
          <w:p>
            <w:pPr>
              <w:pStyle w:val="null3"/>
              <w:jc w:val="both"/>
            </w:pPr>
            <w:r>
              <w:rPr/>
              <w:t>合同支付方式</w:t>
            </w:r>
          </w:p>
        </w:tc>
        <w:tc>
          <w:tcPr>
            <w:tcW w:type="dxa" w:w="2076"/>
          </w:tcPr>
          <w:p>
            <w:pPr>
              <w:pStyle w:val="null3"/>
              <w:jc w:val="both"/>
            </w:pPr>
            <w:r>
              <w:rPr/>
              <w:t>1、合同签订之日起，达到付款条件起15日内，支付合同总金额的30.00%</w:t>
            </w:r>
          </w:p>
          <w:p>
            <w:pPr>
              <w:pStyle w:val="null3"/>
              <w:jc w:val="both"/>
            </w:pPr>
            <w:r>
              <w:rPr/>
              <w:t>2、最终验收合格之日起，达到付款条件起15日内，支付合同总金额的70.00%</w:t>
            </w:r>
          </w:p>
        </w:tc>
      </w:tr>
      <w:tr>
        <w:tc>
          <w:tcPr>
            <w:tcW w:type="dxa" w:w="2076"/>
          </w:tcPr>
          <w:p>
            <w:pPr>
              <w:pStyle w:val="null3"/>
              <w:jc w:val="both"/>
            </w:pPr>
            <w:r>
              <w:rPr/>
              <w:t>7</w:t>
            </w:r>
          </w:p>
        </w:tc>
        <w:tc>
          <w:tcPr>
            <w:tcW w:type="dxa" w:w="2076"/>
          </w:tcPr>
          <w:p/>
        </w:tc>
        <w:tc>
          <w:tcPr>
            <w:tcW w:type="dxa" w:w="2076"/>
          </w:tcPr>
          <w:p>
            <w:pPr>
              <w:pStyle w:val="null3"/>
              <w:jc w:val="both"/>
            </w:pPr>
            <w:r>
              <w:rPr/>
              <w:t>履约保证金</w:t>
            </w:r>
          </w:p>
        </w:tc>
        <w:tc>
          <w:tcPr>
            <w:tcW w:type="dxa" w:w="2076"/>
          </w:tcPr>
          <w:p>
            <w:pPr>
              <w:pStyle w:val="null3"/>
              <w:jc w:val="both"/>
            </w:pPr>
            <w:r>
              <w:rPr/>
              <w:t>不缴纳</w:t>
            </w:r>
          </w:p>
        </w:tc>
      </w:tr>
    </w:tbl>
    <w:p>
      <w:pPr>
        <w:pStyle w:val="null3"/>
        <w:jc w:val="left"/>
      </w:pPr>
      <w:r>
        <w:rPr/>
        <w:t>其他商务要求</w:t>
      </w:r>
    </w:p>
    <w:p>
      <w:pPr>
        <w:pStyle w:val="null3"/>
        <w:ind w:firstLine="480"/>
        <w:jc w:val="left"/>
      </w:pPr>
      <w:r>
        <w:rPr>
          <w:rFonts w:ascii="宋体" w:hAnsi="宋体" w:cs="宋体" w:eastAsia="宋体"/>
          <w:sz w:val="24"/>
          <w:shd w:fill="FFFFFF" w:val="clear"/>
        </w:rPr>
        <w:t>8、安装调试</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1）中标合同签定后在采购人要求时间内派专业技术人员上门完成安装调试。中标人应在设备运抵现场前，通知采购人并告知需采购人配合的事项，安装施工应事先通知采购人，经同意后再进行安装调试。</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2）中标人应负责将设备送到采购人指定地点并负责派技术人员到现场进行安装直至验收合格，其费用包含在投标价中。</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3）在安装、调试完毕以后，采购人会组织技术人员对设备进行测试，如存在问题，中标人必须重新进行调试，直到技术人员确认，安装、调试才算结束。</w:t>
      </w:r>
    </w:p>
    <w:p>
      <w:pPr>
        <w:pStyle w:val="null3"/>
        <w:ind w:firstLine="480"/>
        <w:jc w:val="left"/>
      </w:pPr>
      <w:r>
        <w:rPr>
          <w:rFonts w:ascii="宋体" w:hAnsi="宋体" w:cs="宋体" w:eastAsia="宋体"/>
          <w:sz w:val="24"/>
          <w:shd w:fill="FFFFFF" w:val="clear"/>
        </w:rPr>
        <w:t>9、培训</w:t>
      </w:r>
    </w:p>
    <w:p>
      <w:pPr>
        <w:pStyle w:val="null3"/>
        <w:ind w:firstLine="480"/>
        <w:jc w:val="left"/>
      </w:pPr>
      <w:r>
        <w:rPr>
          <w:rFonts w:ascii="宋体" w:hAnsi="宋体" w:cs="宋体" w:eastAsia="宋体"/>
          <w:sz w:val="24"/>
          <w:shd w:fill="FFFFFF" w:val="clear"/>
        </w:rPr>
        <w:t>中标人负责派有经验的技术人员到采购人合同设备现场免费进行安装、调试、技术指导培训，培训人员</w:t>
      </w:r>
      <w:r>
        <w:rPr>
          <w:rFonts w:ascii="宋体" w:hAnsi="宋体" w:cs="宋体" w:eastAsia="宋体"/>
          <w:sz w:val="24"/>
          <w:shd w:fill="FFFFFF" w:val="clear"/>
        </w:rPr>
        <w:t>2～3 名或以上，提供有关的全套技术文件。</w:t>
      </w:r>
    </w:p>
    <w:p>
      <w:pPr>
        <w:pStyle w:val="null3"/>
        <w:ind w:firstLine="480"/>
        <w:jc w:val="left"/>
      </w:pPr>
      <w:r>
        <w:rPr>
          <w:rFonts w:ascii="宋体" w:hAnsi="宋体" w:cs="宋体" w:eastAsia="宋体"/>
          <w:sz w:val="24"/>
          <w:shd w:fill="FFFFFF" w:val="clear"/>
        </w:rPr>
        <w:t>10、售后服务：</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1）免费保修期：本次采购项目所有产品从最终验收合格之日起提供免费保修</w:t>
      </w:r>
      <w:r>
        <w:rPr>
          <w:rFonts w:ascii="宋体" w:hAnsi="宋体" w:cs="宋体" w:eastAsia="宋体"/>
          <w:sz w:val="24"/>
          <w:shd w:fill="FFFFFF" w:val="clear"/>
        </w:rPr>
        <w:t>2</w:t>
      </w:r>
      <w:r>
        <w:rPr>
          <w:rFonts w:ascii="宋体" w:hAnsi="宋体" w:cs="宋体" w:eastAsia="宋体"/>
          <w:sz w:val="24"/>
          <w:shd w:fill="FFFFFF" w:val="clear"/>
        </w:rPr>
        <w:t>年。</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在保修期内设备若发生非人为故障，中标人应免费上门检修维护，免费更换零部件。中标人在接到采购人故障通知后应在0.5小时内作出电话响应，在1个工作日内给予解决方案，专业技术人员1小时到达现场(逾期采购人有权另请他人维修，费用由中标人承担)，免费提供咨询、维修和更换零部件等服务，重大问题或其他较难解决的问题应在4个工作日内给予方案并解决，若在4个工作日内无法及时排除故障，中标人应提供与该设备型号、规格及技术指标相一致的备品或更新的兼容产品以保证正常运行，如因中标人原因不能及时修复，保修期将相应顺延。</w:t>
      </w:r>
    </w:p>
    <w:p>
      <w:pPr>
        <w:pStyle w:val="null3"/>
        <w:ind w:firstLine="480"/>
        <w:jc w:val="left"/>
      </w:pPr>
      <w:r>
        <w:rPr>
          <w:rFonts w:ascii="宋体" w:hAnsi="宋体" w:cs="宋体" w:eastAsia="宋体"/>
          <w:sz w:val="24"/>
          <w:shd w:fill="FFFFFF" w:val="clear"/>
        </w:rPr>
        <w:t>11、违约责任</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1）中标人所交货物不符合本合同要求的，采购人有权拒收；同时，中标人应向采购人赔偿该合同款总额30%的违约金，且涉及到的部分合同条款采购人有权终止履行。</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中标人如果不按规定与采购人签订合同或者签订合同后不履行其投标承诺或者其它由于中标方自身原因造成无法履行合同的，均视为中标方违约，采购人将取消其中标资格，如果已经签订合同的则合同自动解除，且中标人还要承担相应的法律责任。给采购人造成损失的，还必须进行赔偿。因中标人违约对采购人造成损失的赔偿金及合同约定的违约金均可由采购人从未支付的合同款或履约保证金中扣除。</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中标人在规定时间内不能将符合招标文件要求的所有的设备按时交付采购人使用，延期7天以内（含7天），按合同总金额的3%支付给逾期违约金；延期8-15天（含15天），按合同总额的8%支付逾期违约金；延期16-30天（含30天），按合同总额的10%支付逾期违约金；延期超过30天，除按合同总额的15%支付逾期违约金外，采购人有权解除合同。</w:t>
      </w:r>
    </w:p>
    <w:p>
      <w:pPr>
        <w:pStyle w:val="null3"/>
        <w:ind w:firstLine="480"/>
        <w:jc w:val="left"/>
      </w:pPr>
      <w:r>
        <w:rPr>
          <w:rFonts w:ascii="宋体" w:hAnsi="宋体" w:cs="宋体" w:eastAsia="宋体"/>
          <w:sz w:val="24"/>
          <w:shd w:fill="FFFFFF" w:val="clear"/>
        </w:rPr>
        <w:t>12、报价要求</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投标报价应是包含项目所涉及的所有有关费用，包括但不限于产品的制造成本、包装、运输、装卸、保险、安装调试、验收、人员培训、税金、技术服务费、维护升级、售后服务费、备品备件费、施工费、风险费、材料费、代理服务费等直至验收合格交付使用完毕所有可能发生的一切费用。除中标金额外，采购人不再另行支付其他费用。</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2）本文所述的采购清单为本项目正常使用所需的最低要求，如有遗漏，投标人应予以补充，否则，一旦中标将认为投标人认同遗漏部分并免费提供。</w:t>
      </w:r>
    </w:p>
    <w:p>
      <w:pPr>
        <w:pStyle w:val="null3"/>
        <w:ind w:firstLine="480"/>
        <w:jc w:val="left"/>
      </w:pPr>
      <w:r>
        <w:rPr>
          <w:rFonts w:ascii="宋体" w:hAnsi="宋体" w:cs="宋体" w:eastAsia="宋体"/>
          <w:sz w:val="24"/>
          <w:shd w:fill="FFFFFF" w:val="clear"/>
        </w:rPr>
        <w:t>13、知识产权</w:t>
      </w:r>
    </w:p>
    <w:p>
      <w:pPr>
        <w:pStyle w:val="null3"/>
        <w:ind w:firstLine="420"/>
        <w:jc w:val="both"/>
      </w:pPr>
      <w:r>
        <w:rPr>
          <w:rFonts w:ascii="宋体" w:hAnsi="宋体" w:cs="宋体" w:eastAsia="宋体"/>
          <w:sz w:val="24"/>
          <w:shd w:fill="FFFFFF" w:val="clear"/>
        </w:rPr>
        <w:t>中标人提供的采购标的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招标文件中未有载明的部分，中标人可以与采购人在采购合同中另行补充约定，一切条款须以中标人与采购人签订的采购合同为准。</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二-9中小企业声明函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二-12其他资格证明文件（若有）</w:t>
      </w:r>
    </w:p>
    <w:p>
      <w:pPr>
        <w:pStyle w:val="null3"/>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[350001]ZSTY[GK]2024001-1</w:t>
      </w:r>
    </w:p>
    <w:p>
      <w:pPr>
        <w:pStyle w:val="null3"/>
        <w:jc w:val="left"/>
      </w:pPr>
      <w:r>
        <w:rPr/>
        <w:t>项目名称：</w:t>
      </w:r>
      <w:r>
        <w:rPr/>
        <w:t>森林防火物资采购(二次)</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森林防火物资采购</w:t>
            </w:r>
          </w:p>
        </w:tc>
        <w:tc>
          <w:tcPr>
            <w:tcW w:type="dxa" w:w="1661"/>
          </w:tcPr>
          <w:p>
            <w:pPr>
              <w:pStyle w:val="null3"/>
              <w:jc w:val="left"/>
            </w:pPr>
            <w:r>
              <w:rPr/>
              <w:t xml:space="preserve"> 1500000.0000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[350001]ZSTY[GK]2024001-1</w:t>
      </w:r>
    </w:p>
    <w:p>
      <w:pPr>
        <w:pStyle w:val="null3"/>
        <w:jc w:val="left"/>
      </w:pPr>
      <w:r>
        <w:rPr/>
        <w:t>项目名称：</w:t>
      </w:r>
      <w:r>
        <w:rPr/>
        <w:t>森林防火物资采购(二次)</w:t>
      </w:r>
    </w:p>
    <w:p>
      <w:pPr>
        <w:pStyle w:val="null3"/>
        <w:jc w:val="left"/>
      </w:pPr>
      <w:r>
        <w:rPr/>
        <w:t xml:space="preserve"> 森林防火物资</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货物名称</w:t>
            </w:r>
          </w:p>
        </w:tc>
        <w:tc>
          <w:tcPr>
            <w:tcW w:type="dxa" w:w="755"/>
          </w:tcPr>
          <w:p>
            <w:pPr>
              <w:pStyle w:val="null3"/>
              <w:jc w:val="left"/>
            </w:pPr>
            <w:r>
              <w:rPr/>
              <w:t xml:space="preserve"> 规格型号</w:t>
            </w:r>
          </w:p>
        </w:tc>
        <w:tc>
          <w:tcPr>
            <w:tcW w:type="dxa" w:w="755"/>
          </w:tcPr>
          <w:p>
            <w:pPr>
              <w:pStyle w:val="null3"/>
              <w:jc w:val="left"/>
            </w:pPr>
            <w:r>
              <w:rPr/>
              <w:t xml:space="preserve"> 品牌</w:t>
            </w:r>
          </w:p>
        </w:tc>
        <w:tc>
          <w:tcPr>
            <w:tcW w:type="dxa" w:w="755"/>
          </w:tcPr>
          <w:p>
            <w:pPr>
              <w:pStyle w:val="null3"/>
              <w:jc w:val="left"/>
            </w:pPr>
            <w:r>
              <w:rPr/>
              <w:t xml:space="preserve"> 制造商名称</w:t>
            </w:r>
          </w:p>
        </w:tc>
        <w:tc>
          <w:tcPr>
            <w:tcW w:type="dxa" w:w="755"/>
          </w:tcPr>
          <w:p>
            <w:pPr>
              <w:pStyle w:val="null3"/>
              <w:jc w:val="left"/>
            </w:pPr>
            <w:r>
              <w:rPr/>
              <w:t xml:space="preserve"> 产地</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智能高压便携水泵</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20.0000</w:t>
            </w:r>
          </w:p>
        </w:tc>
        <w:tc>
          <w:tcPr>
            <w:tcW w:type="dxa" w:w="755"/>
          </w:tcPr>
          <w:p>
            <w:pPr>
              <w:pStyle w:val="null3"/>
              <w:jc w:val="left"/>
            </w:pPr>
            <w:r>
              <w:rPr/>
              <w:t xml:space="preserve"> 套</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w:t>
            </w:r>
          </w:p>
        </w:tc>
        <w:tc>
          <w:tcPr>
            <w:tcW w:type="dxa" w:w="755"/>
          </w:tcPr>
          <w:p>
            <w:pPr>
              <w:pStyle w:val="null3"/>
              <w:jc w:val="left"/>
            </w:pPr>
            <w:r>
              <w:rPr/>
              <w:t xml:space="preserve"> 油锯</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50.0000</w:t>
            </w:r>
          </w:p>
        </w:tc>
        <w:tc>
          <w:tcPr>
            <w:tcW w:type="dxa" w:w="755"/>
          </w:tcPr>
          <w:p>
            <w:pPr>
              <w:pStyle w:val="null3"/>
              <w:jc w:val="left"/>
            </w:pPr>
            <w:r>
              <w:rPr/>
              <w:t xml:space="preserve"> 台</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3</w:t>
            </w:r>
          </w:p>
        </w:tc>
        <w:tc>
          <w:tcPr>
            <w:tcW w:type="dxa" w:w="755"/>
          </w:tcPr>
          <w:p>
            <w:pPr>
              <w:pStyle w:val="null3"/>
              <w:jc w:val="left"/>
            </w:pPr>
            <w:r>
              <w:rPr/>
              <w:t xml:space="preserve"> 三合对讲机</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20.0000</w:t>
            </w:r>
          </w:p>
        </w:tc>
        <w:tc>
          <w:tcPr>
            <w:tcW w:type="dxa" w:w="755"/>
          </w:tcPr>
          <w:p>
            <w:pPr>
              <w:pStyle w:val="null3"/>
              <w:jc w:val="left"/>
            </w:pPr>
            <w:r>
              <w:rPr/>
              <w:t xml:space="preserve"> 部</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4</w:t>
            </w:r>
          </w:p>
        </w:tc>
        <w:tc>
          <w:tcPr>
            <w:tcW w:type="dxa" w:w="755"/>
          </w:tcPr>
          <w:p>
            <w:pPr>
              <w:pStyle w:val="null3"/>
              <w:jc w:val="left"/>
            </w:pPr>
            <w:r>
              <w:rPr/>
              <w:t xml:space="preserve"> 应急电源</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20.0000</w:t>
            </w:r>
          </w:p>
        </w:tc>
        <w:tc>
          <w:tcPr>
            <w:tcW w:type="dxa" w:w="755"/>
          </w:tcPr>
          <w:p>
            <w:pPr>
              <w:pStyle w:val="null3"/>
              <w:jc w:val="left"/>
            </w:pPr>
            <w:r>
              <w:rPr/>
              <w:t xml:space="preserve"> 台</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